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5AD67">
      <w:pPr>
        <w:spacing w:line="360" w:lineRule="auto"/>
        <w:jc w:val="center"/>
        <w:outlineLvl w:val="0"/>
        <w:rPr>
          <w:b/>
          <w:sz w:val="36"/>
          <w:szCs w:val="36"/>
          <w:highlight w:val="none"/>
        </w:rPr>
      </w:pPr>
      <w:r>
        <w:rPr>
          <w:b/>
          <w:sz w:val="36"/>
          <w:szCs w:val="36"/>
          <w:highlight w:val="none"/>
        </w:rPr>
        <w:t>采购需求</w:t>
      </w:r>
    </w:p>
    <w:p w14:paraId="5014019D">
      <w:pPr>
        <w:keepNext w:val="0"/>
        <w:keepLines w:val="0"/>
        <w:pageBreakBefore w:val="0"/>
        <w:widowControl w:val="0"/>
        <w:kinsoku/>
        <w:wordWrap/>
        <w:overflowPunct/>
        <w:topLinePunct w:val="0"/>
        <w:bidi w:val="0"/>
        <w:snapToGrid/>
        <w:spacing w:line="360" w:lineRule="auto"/>
        <w:ind w:firstLine="482" w:firstLineChars="200"/>
        <w:jc w:val="left"/>
        <w:outlineLvl w:val="0"/>
        <w:rPr>
          <w:rFonts w:hint="eastAsia"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t>一、采购标的</w:t>
      </w:r>
    </w:p>
    <w:p w14:paraId="4DAAF413">
      <w:pPr>
        <w:keepNext w:val="0"/>
        <w:keepLines w:val="0"/>
        <w:pageBreakBefore w:val="0"/>
        <w:widowControl w:val="0"/>
        <w:kinsoku/>
        <w:wordWrap/>
        <w:overflowPunct/>
        <w:topLinePunct w:val="0"/>
        <w:bidi w:val="0"/>
        <w:snapToGrid/>
        <w:spacing w:line="360" w:lineRule="auto"/>
        <w:ind w:firstLine="480" w:firstLineChars="200"/>
        <w:jc w:val="left"/>
        <w:outlineLvl w:val="0"/>
        <w:rPr>
          <w:rFonts w:hint="eastAsia" w:ascii="宋体" w:hAnsi="宋体" w:cs="宋体"/>
          <w:sz w:val="24"/>
          <w:highlight w:val="none"/>
        </w:rPr>
      </w:pPr>
      <w:bookmarkStart w:id="0" w:name="_bookmark9"/>
      <w:bookmarkEnd w:id="0"/>
      <w:bookmarkStart w:id="1" w:name="（一）物业情况"/>
      <w:bookmarkEnd w:id="1"/>
      <w:r>
        <w:rPr>
          <w:rFonts w:hint="eastAsia" w:ascii="宋体" w:hAnsi="宋体" w:cs="宋体"/>
          <w:sz w:val="24"/>
          <w:highlight w:val="none"/>
        </w:rPr>
        <w:t>1</w:t>
      </w:r>
      <w:r>
        <w:rPr>
          <w:rFonts w:hint="eastAsia" w:ascii="宋体" w:hAnsi="宋体" w:cs="宋体"/>
          <w:sz w:val="24"/>
          <w:highlight w:val="none"/>
          <w:lang w:eastAsia="zh-CN"/>
        </w:rPr>
        <w:t>.</w:t>
      </w:r>
      <w:r>
        <w:rPr>
          <w:rFonts w:hint="eastAsia" w:ascii="宋体" w:hAnsi="宋体" w:cs="宋体"/>
          <w:sz w:val="24"/>
          <w:highlight w:val="none"/>
        </w:rPr>
        <w:t>服务内容：</w:t>
      </w:r>
    </w:p>
    <w:p w14:paraId="23F6A7AC">
      <w:pPr>
        <w:keepNext w:val="0"/>
        <w:keepLines w:val="0"/>
        <w:pageBreakBefore w:val="0"/>
        <w:widowControl w:val="0"/>
        <w:kinsoku/>
        <w:wordWrap/>
        <w:overflowPunct/>
        <w:topLinePunct w:val="0"/>
        <w:bidi w:val="0"/>
        <w:snapToGrid/>
        <w:spacing w:line="360" w:lineRule="auto"/>
        <w:ind w:firstLine="480" w:firstLineChars="200"/>
        <w:jc w:val="left"/>
        <w:outlineLvl w:val="0"/>
        <w:rPr>
          <w:rFonts w:hint="eastAsia" w:ascii="宋体" w:hAnsi="宋体" w:cs="宋体"/>
          <w:sz w:val="24"/>
          <w:highlight w:val="none"/>
        </w:rPr>
      </w:pPr>
      <w:r>
        <w:rPr>
          <w:rFonts w:hint="eastAsia" w:ascii="宋体" w:hAnsi="宋体" w:cs="宋体"/>
          <w:sz w:val="24"/>
          <w:highlight w:val="none"/>
        </w:rPr>
        <w:t>1</w:t>
      </w:r>
      <w:r>
        <w:rPr>
          <w:rFonts w:ascii="宋体" w:hAnsi="宋体" w:cs="宋体"/>
          <w:sz w:val="24"/>
          <w:highlight w:val="none"/>
        </w:rPr>
        <w:t>.1 采购标的</w:t>
      </w:r>
    </w:p>
    <w:tbl>
      <w:tblPr>
        <w:tblStyle w:val="6"/>
        <w:tblW w:w="852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2343"/>
        <w:gridCol w:w="1701"/>
        <w:gridCol w:w="1473"/>
        <w:gridCol w:w="1947"/>
      </w:tblGrid>
      <w:tr w14:paraId="41D7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noWrap w:val="0"/>
            <w:vAlign w:val="center"/>
          </w:tcPr>
          <w:p w14:paraId="189B39D5">
            <w:pPr>
              <w:keepNext w:val="0"/>
              <w:keepLines w:val="0"/>
              <w:pageBreakBefore w:val="0"/>
              <w:widowControl w:val="0"/>
              <w:kinsoku/>
              <w:wordWrap/>
              <w:overflowPunct/>
              <w:topLinePunct w:val="0"/>
              <w:bidi w:val="0"/>
              <w:snapToGrid/>
              <w:spacing w:line="360" w:lineRule="auto"/>
              <w:jc w:val="center"/>
              <w:rPr>
                <w:rFonts w:ascii="宋体" w:hAnsi="宋体" w:cs="宋体"/>
                <w:b/>
                <w:bCs/>
                <w:kern w:val="0"/>
                <w:sz w:val="18"/>
                <w:szCs w:val="18"/>
                <w:highlight w:val="none"/>
              </w:rPr>
            </w:pPr>
            <w:r>
              <w:rPr>
                <w:rFonts w:hint="eastAsia" w:ascii="宋体" w:hAnsi="宋体" w:cs="宋体"/>
                <w:b/>
                <w:bCs/>
                <w:kern w:val="0"/>
                <w:sz w:val="18"/>
                <w:szCs w:val="18"/>
                <w:highlight w:val="none"/>
              </w:rPr>
              <w:t>序号</w:t>
            </w:r>
          </w:p>
        </w:tc>
        <w:tc>
          <w:tcPr>
            <w:tcW w:w="2343" w:type="dxa"/>
            <w:noWrap w:val="0"/>
            <w:vAlign w:val="center"/>
          </w:tcPr>
          <w:p w14:paraId="4F80015B">
            <w:pPr>
              <w:keepNext w:val="0"/>
              <w:keepLines w:val="0"/>
              <w:pageBreakBefore w:val="0"/>
              <w:widowControl w:val="0"/>
              <w:kinsoku/>
              <w:wordWrap/>
              <w:overflowPunct/>
              <w:topLinePunct w:val="0"/>
              <w:bidi w:val="0"/>
              <w:snapToGrid/>
              <w:spacing w:line="360" w:lineRule="auto"/>
              <w:jc w:val="center"/>
              <w:rPr>
                <w:rFonts w:ascii="宋体" w:hAnsi="宋体" w:cs="宋体"/>
                <w:b/>
                <w:bCs/>
                <w:kern w:val="0"/>
                <w:sz w:val="18"/>
                <w:szCs w:val="18"/>
                <w:highlight w:val="none"/>
              </w:rPr>
            </w:pPr>
            <w:r>
              <w:rPr>
                <w:rFonts w:hint="eastAsia" w:ascii="宋体" w:hAnsi="宋体" w:cs="宋体"/>
                <w:b/>
                <w:bCs/>
                <w:kern w:val="0"/>
                <w:sz w:val="18"/>
                <w:szCs w:val="18"/>
                <w:highlight w:val="none"/>
              </w:rPr>
              <w:t>服务名称</w:t>
            </w:r>
          </w:p>
        </w:tc>
        <w:tc>
          <w:tcPr>
            <w:tcW w:w="1701" w:type="dxa"/>
            <w:noWrap w:val="0"/>
            <w:vAlign w:val="center"/>
          </w:tcPr>
          <w:p w14:paraId="5DC794C5">
            <w:pPr>
              <w:keepNext w:val="0"/>
              <w:keepLines w:val="0"/>
              <w:pageBreakBefore w:val="0"/>
              <w:widowControl w:val="0"/>
              <w:kinsoku/>
              <w:wordWrap/>
              <w:overflowPunct/>
              <w:topLinePunct w:val="0"/>
              <w:bidi w:val="0"/>
              <w:snapToGrid/>
              <w:spacing w:line="360" w:lineRule="auto"/>
              <w:jc w:val="center"/>
              <w:rPr>
                <w:rFonts w:ascii="宋体" w:hAnsi="宋体" w:cs="宋体"/>
                <w:b/>
                <w:bCs/>
                <w:kern w:val="0"/>
                <w:sz w:val="18"/>
                <w:szCs w:val="18"/>
                <w:highlight w:val="none"/>
              </w:rPr>
            </w:pPr>
            <w:r>
              <w:rPr>
                <w:rFonts w:hint="eastAsia" w:ascii="宋体" w:hAnsi="宋体" w:cs="宋体"/>
                <w:b/>
                <w:bCs/>
                <w:kern w:val="0"/>
                <w:sz w:val="18"/>
                <w:szCs w:val="18"/>
                <w:highlight w:val="none"/>
              </w:rPr>
              <w:t>数量</w:t>
            </w:r>
          </w:p>
        </w:tc>
        <w:tc>
          <w:tcPr>
            <w:tcW w:w="1473" w:type="dxa"/>
            <w:noWrap w:val="0"/>
            <w:vAlign w:val="center"/>
          </w:tcPr>
          <w:p w14:paraId="3D283673">
            <w:pPr>
              <w:keepNext w:val="0"/>
              <w:keepLines w:val="0"/>
              <w:pageBreakBefore w:val="0"/>
              <w:widowControl w:val="0"/>
              <w:kinsoku/>
              <w:wordWrap/>
              <w:overflowPunct/>
              <w:topLinePunct w:val="0"/>
              <w:bidi w:val="0"/>
              <w:snapToGrid/>
              <w:spacing w:line="360" w:lineRule="auto"/>
              <w:jc w:val="center"/>
              <w:rPr>
                <w:rFonts w:ascii="宋体" w:hAnsi="宋体" w:cs="宋体"/>
                <w:b/>
                <w:bCs/>
                <w:kern w:val="0"/>
                <w:sz w:val="18"/>
                <w:szCs w:val="18"/>
                <w:highlight w:val="none"/>
              </w:rPr>
            </w:pPr>
            <w:r>
              <w:rPr>
                <w:rFonts w:hint="eastAsia" w:ascii="宋体" w:hAnsi="宋体" w:cs="宋体"/>
                <w:b/>
                <w:bCs/>
                <w:kern w:val="0"/>
                <w:sz w:val="18"/>
                <w:szCs w:val="18"/>
                <w:highlight w:val="none"/>
              </w:rPr>
              <w:t>单位</w:t>
            </w:r>
          </w:p>
        </w:tc>
        <w:tc>
          <w:tcPr>
            <w:tcW w:w="1947" w:type="dxa"/>
            <w:noWrap w:val="0"/>
            <w:vAlign w:val="center"/>
          </w:tcPr>
          <w:p w14:paraId="5B0AF785">
            <w:pPr>
              <w:keepNext w:val="0"/>
              <w:keepLines w:val="0"/>
              <w:pageBreakBefore w:val="0"/>
              <w:widowControl w:val="0"/>
              <w:kinsoku/>
              <w:wordWrap/>
              <w:overflowPunct/>
              <w:topLinePunct w:val="0"/>
              <w:bidi w:val="0"/>
              <w:snapToGrid/>
              <w:spacing w:line="360" w:lineRule="auto"/>
              <w:jc w:val="center"/>
              <w:rPr>
                <w:rFonts w:ascii="宋体" w:hAnsi="宋体" w:cs="宋体"/>
                <w:b/>
                <w:bCs/>
                <w:kern w:val="0"/>
                <w:sz w:val="18"/>
                <w:szCs w:val="18"/>
                <w:highlight w:val="none"/>
              </w:rPr>
            </w:pPr>
            <w:r>
              <w:rPr>
                <w:rFonts w:hint="eastAsia" w:ascii="宋体" w:hAnsi="宋体" w:cs="宋体"/>
                <w:b/>
                <w:bCs/>
                <w:kern w:val="0"/>
                <w:sz w:val="18"/>
                <w:szCs w:val="18"/>
                <w:highlight w:val="none"/>
              </w:rPr>
              <w:t>备注</w:t>
            </w:r>
          </w:p>
        </w:tc>
      </w:tr>
      <w:tr w14:paraId="0FDC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noWrap w:val="0"/>
            <w:vAlign w:val="center"/>
          </w:tcPr>
          <w:p w14:paraId="1C8ECDD4">
            <w:pPr>
              <w:keepNext w:val="0"/>
              <w:keepLines w:val="0"/>
              <w:pageBreakBefore w:val="0"/>
              <w:widowControl w:val="0"/>
              <w:kinsoku/>
              <w:wordWrap/>
              <w:overflowPunct/>
              <w:topLinePunct w:val="0"/>
              <w:bidi w:val="0"/>
              <w:snapToGrid/>
              <w:spacing w:line="360" w:lineRule="auto"/>
              <w:jc w:val="center"/>
              <w:rPr>
                <w:rFonts w:ascii="宋体" w:hAnsi="宋体" w:cs="宋体"/>
                <w:kern w:val="0"/>
                <w:sz w:val="18"/>
                <w:szCs w:val="18"/>
                <w:highlight w:val="none"/>
              </w:rPr>
            </w:pPr>
            <w:r>
              <w:rPr>
                <w:rFonts w:hint="eastAsia" w:ascii="宋体" w:hAnsi="宋体" w:cs="宋体"/>
                <w:kern w:val="0"/>
                <w:sz w:val="18"/>
                <w:szCs w:val="18"/>
                <w:highlight w:val="none"/>
              </w:rPr>
              <w:t>1</w:t>
            </w:r>
          </w:p>
        </w:tc>
        <w:tc>
          <w:tcPr>
            <w:tcW w:w="2343" w:type="dxa"/>
            <w:noWrap w:val="0"/>
            <w:vAlign w:val="top"/>
          </w:tcPr>
          <w:p w14:paraId="6C4DA620">
            <w:pPr>
              <w:keepNext w:val="0"/>
              <w:keepLines w:val="0"/>
              <w:pageBreakBefore w:val="0"/>
              <w:widowControl w:val="0"/>
              <w:kinsoku/>
              <w:wordWrap/>
              <w:overflowPunct/>
              <w:topLinePunct w:val="0"/>
              <w:bidi w:val="0"/>
              <w:snapToGrid/>
              <w:spacing w:line="360" w:lineRule="auto"/>
              <w:jc w:val="center"/>
              <w:rPr>
                <w:rFonts w:ascii="宋体" w:hAnsi="宋体" w:cs="宋体"/>
                <w:kern w:val="0"/>
                <w:sz w:val="18"/>
                <w:szCs w:val="18"/>
                <w:highlight w:val="none"/>
              </w:rPr>
            </w:pPr>
            <w:r>
              <w:rPr>
                <w:rFonts w:hint="eastAsia" w:ascii="宋体" w:hAnsi="宋体" w:cs="宋体"/>
                <w:kern w:val="0"/>
                <w:sz w:val="18"/>
                <w:szCs w:val="18"/>
                <w:highlight w:val="none"/>
              </w:rPr>
              <w:t>北京市民族团结进步促进中心202</w:t>
            </w:r>
            <w:r>
              <w:rPr>
                <w:rFonts w:hint="eastAsia" w:ascii="宋体" w:hAnsi="宋体" w:cs="宋体"/>
                <w:kern w:val="0"/>
                <w:sz w:val="18"/>
                <w:szCs w:val="18"/>
                <w:highlight w:val="none"/>
                <w:lang w:val="en-US" w:eastAsia="zh-CN"/>
              </w:rPr>
              <w:t>6</w:t>
            </w:r>
            <w:r>
              <w:rPr>
                <w:rFonts w:hint="eastAsia" w:ascii="宋体" w:hAnsi="宋体" w:cs="宋体"/>
                <w:kern w:val="0"/>
                <w:sz w:val="18"/>
                <w:szCs w:val="18"/>
                <w:highlight w:val="none"/>
              </w:rPr>
              <w:t>年至202</w:t>
            </w:r>
            <w:r>
              <w:rPr>
                <w:rFonts w:hint="eastAsia" w:ascii="宋体" w:hAnsi="宋体" w:cs="宋体"/>
                <w:kern w:val="0"/>
                <w:sz w:val="18"/>
                <w:szCs w:val="18"/>
                <w:highlight w:val="none"/>
                <w:lang w:val="en-US" w:eastAsia="zh-CN"/>
              </w:rPr>
              <w:t>7</w:t>
            </w:r>
            <w:r>
              <w:rPr>
                <w:rFonts w:hint="eastAsia" w:ascii="宋体" w:hAnsi="宋体" w:cs="宋体"/>
                <w:kern w:val="0"/>
                <w:sz w:val="18"/>
                <w:szCs w:val="18"/>
                <w:highlight w:val="none"/>
              </w:rPr>
              <w:t>年物业保障服务项目</w:t>
            </w:r>
          </w:p>
        </w:tc>
        <w:tc>
          <w:tcPr>
            <w:tcW w:w="1701" w:type="dxa"/>
            <w:noWrap w:val="0"/>
            <w:vAlign w:val="center"/>
          </w:tcPr>
          <w:p w14:paraId="02185478">
            <w:pPr>
              <w:keepNext w:val="0"/>
              <w:keepLines w:val="0"/>
              <w:pageBreakBefore w:val="0"/>
              <w:widowControl w:val="0"/>
              <w:kinsoku/>
              <w:wordWrap/>
              <w:overflowPunct/>
              <w:topLinePunct w:val="0"/>
              <w:bidi w:val="0"/>
              <w:snapToGrid/>
              <w:spacing w:line="360" w:lineRule="auto"/>
              <w:jc w:val="center"/>
              <w:rPr>
                <w:rFonts w:ascii="宋体" w:hAnsi="宋体" w:cs="宋体"/>
                <w:kern w:val="0"/>
                <w:sz w:val="18"/>
                <w:szCs w:val="18"/>
                <w:highlight w:val="none"/>
              </w:rPr>
            </w:pPr>
            <w:r>
              <w:rPr>
                <w:rFonts w:hint="eastAsia" w:ascii="宋体" w:hAnsi="宋体" w:cs="宋体"/>
                <w:kern w:val="0"/>
                <w:sz w:val="18"/>
                <w:szCs w:val="18"/>
                <w:highlight w:val="none"/>
              </w:rPr>
              <w:t>1</w:t>
            </w:r>
          </w:p>
        </w:tc>
        <w:tc>
          <w:tcPr>
            <w:tcW w:w="1473" w:type="dxa"/>
            <w:noWrap w:val="0"/>
            <w:vAlign w:val="center"/>
          </w:tcPr>
          <w:p w14:paraId="723BAB5C">
            <w:pPr>
              <w:keepNext w:val="0"/>
              <w:keepLines w:val="0"/>
              <w:pageBreakBefore w:val="0"/>
              <w:widowControl w:val="0"/>
              <w:kinsoku/>
              <w:wordWrap/>
              <w:overflowPunct/>
              <w:topLinePunct w:val="0"/>
              <w:bidi w:val="0"/>
              <w:snapToGrid/>
              <w:spacing w:line="360" w:lineRule="auto"/>
              <w:jc w:val="center"/>
              <w:rPr>
                <w:rFonts w:ascii="宋体" w:hAnsi="宋体" w:cs="宋体"/>
                <w:kern w:val="0"/>
                <w:sz w:val="18"/>
                <w:szCs w:val="18"/>
                <w:highlight w:val="none"/>
              </w:rPr>
            </w:pPr>
            <w:r>
              <w:rPr>
                <w:rFonts w:hint="eastAsia" w:ascii="宋体" w:hAnsi="宋体" w:cs="宋体"/>
                <w:kern w:val="0"/>
                <w:sz w:val="18"/>
                <w:szCs w:val="18"/>
                <w:highlight w:val="none"/>
              </w:rPr>
              <w:t>项</w:t>
            </w:r>
          </w:p>
        </w:tc>
        <w:tc>
          <w:tcPr>
            <w:tcW w:w="1947" w:type="dxa"/>
            <w:noWrap w:val="0"/>
            <w:vAlign w:val="top"/>
          </w:tcPr>
          <w:p w14:paraId="7BF4E139">
            <w:pPr>
              <w:keepNext w:val="0"/>
              <w:keepLines w:val="0"/>
              <w:pageBreakBefore w:val="0"/>
              <w:widowControl w:val="0"/>
              <w:kinsoku/>
              <w:wordWrap/>
              <w:overflowPunct/>
              <w:topLinePunct w:val="0"/>
              <w:bidi w:val="0"/>
              <w:snapToGrid/>
              <w:spacing w:line="360" w:lineRule="auto"/>
              <w:jc w:val="center"/>
              <w:rPr>
                <w:rFonts w:ascii="宋体" w:hAnsi="宋体" w:cs="宋体"/>
                <w:kern w:val="0"/>
                <w:sz w:val="18"/>
                <w:szCs w:val="18"/>
                <w:highlight w:val="none"/>
              </w:rPr>
            </w:pPr>
          </w:p>
          <w:p w14:paraId="6A754A53">
            <w:pPr>
              <w:keepNext w:val="0"/>
              <w:keepLines w:val="0"/>
              <w:pageBreakBefore w:val="0"/>
              <w:widowControl w:val="0"/>
              <w:kinsoku/>
              <w:wordWrap/>
              <w:overflowPunct/>
              <w:topLinePunct w:val="0"/>
              <w:bidi w:val="0"/>
              <w:snapToGrid/>
              <w:spacing w:line="360" w:lineRule="auto"/>
              <w:jc w:val="center"/>
              <w:rPr>
                <w:rFonts w:ascii="宋体" w:hAnsi="宋体" w:cs="宋体"/>
                <w:kern w:val="0"/>
                <w:sz w:val="18"/>
                <w:szCs w:val="18"/>
                <w:highlight w:val="none"/>
              </w:rPr>
            </w:pPr>
          </w:p>
        </w:tc>
      </w:tr>
    </w:tbl>
    <w:p w14:paraId="24E6D6E6">
      <w:pPr>
        <w:keepNext w:val="0"/>
        <w:keepLines w:val="0"/>
        <w:pageBreakBefore w:val="0"/>
        <w:widowControl w:val="0"/>
        <w:tabs>
          <w:tab w:val="left" w:pos="567"/>
        </w:tabs>
        <w:kinsoku/>
        <w:wordWrap/>
        <w:overflowPunct/>
        <w:topLinePunct w:val="0"/>
        <w:bidi w:val="0"/>
        <w:snapToGrid/>
        <w:spacing w:before="120" w:line="520" w:lineRule="exact"/>
        <w:ind w:firstLine="480" w:firstLineChars="200"/>
        <w:jc w:val="left"/>
        <w:rPr>
          <w:sz w:val="24"/>
          <w:highlight w:val="none"/>
        </w:rPr>
      </w:pPr>
      <w:r>
        <w:rPr>
          <w:rFonts w:hint="eastAsia" w:ascii="宋体" w:hAnsi="宋体" w:cs="宋体"/>
          <w:sz w:val="24"/>
          <w:highlight w:val="none"/>
        </w:rPr>
        <w:t>1.</w:t>
      </w:r>
      <w:r>
        <w:rPr>
          <w:rFonts w:ascii="宋体" w:hAnsi="宋体" w:cs="宋体"/>
          <w:sz w:val="24"/>
          <w:highlight w:val="none"/>
        </w:rPr>
        <w:t>2</w:t>
      </w:r>
      <w:r>
        <w:rPr>
          <w:rFonts w:hint="eastAsia" w:ascii="宋体" w:hAnsi="宋体" w:cs="宋体"/>
          <w:sz w:val="24"/>
          <w:highlight w:val="none"/>
        </w:rPr>
        <w:t>北京市民族团结进步促进中心区域1.2万余平米，包含北京市东城区和平里西街79号、</w:t>
      </w:r>
      <w:r>
        <w:rPr>
          <w:rFonts w:hint="eastAsia"/>
          <w:sz w:val="24"/>
          <w:highlight w:val="none"/>
        </w:rPr>
        <w:t>老干部活动站(与采购人是附属关系)</w:t>
      </w:r>
    </w:p>
    <w:p w14:paraId="65C25485">
      <w:pPr>
        <w:pStyle w:val="4"/>
        <w:rPr>
          <w:rFonts w:hint="eastAsia" w:ascii="宋体" w:hAnsi="宋体" w:cs="宋体"/>
          <w:sz w:val="24"/>
          <w:highlight w:val="none"/>
        </w:rPr>
      </w:pPr>
      <w:r>
        <w:rPr>
          <w:rFonts w:hint="eastAsia" w:ascii="宋体" w:hAnsi="宋体" w:cs="宋体"/>
          <w:sz w:val="24"/>
          <w:highlight w:val="none"/>
        </w:rPr>
        <w:t>项目背景：北京市民族团结进步促进中心位于北二环雍和宫桥西北侧，本单位为二类公益单位，开展党的民族理论研究、宣传教育，开展民族文化、体育交流活动；联系服务首都各民族代表人士，开展联谊交流和公益性社会活动；承担少数民族宗教古籍整理相关工作；承担本系统信息安全、网络应用、国有资产管理等工作，在各项服务及安全保障方面有较高标准及要求。</w:t>
      </w:r>
    </w:p>
    <w:p w14:paraId="241B4557">
      <w:pPr>
        <w:widowControl/>
        <w:ind w:firstLineChars="100"/>
        <w:rPr>
          <w:rFonts w:hint="eastAsia" w:eastAsia="宋体"/>
          <w:highlight w:val="none"/>
          <w:lang w:val="en-US" w:eastAsia="zh-CN"/>
        </w:rPr>
      </w:pPr>
      <w:r>
        <w:rPr>
          <w:rFonts w:hint="eastAsia" w:ascii="宋体" w:hAnsi="宋体" w:cs="宋体"/>
          <w:sz w:val="24"/>
          <w:szCs w:val="24"/>
          <w:highlight w:val="none"/>
          <w:lang w:val="en-US" w:eastAsia="zh-CN"/>
        </w:rPr>
        <w:t>1.3</w:t>
      </w:r>
      <w:r>
        <w:rPr>
          <w:rFonts w:ascii="宋体" w:hAnsi="宋体" w:eastAsia="宋体" w:cs="宋体"/>
          <w:kern w:val="0"/>
          <w:sz w:val="24"/>
          <w:szCs w:val="24"/>
          <w:highlight w:val="none"/>
          <w:lang w:val="en-US" w:eastAsia="zh-CN" w:bidi="ar"/>
        </w:rPr>
        <w:t>★</w:t>
      </w:r>
      <w:r>
        <w:rPr>
          <w:rFonts w:ascii="宋体" w:hAnsi="宋体" w:eastAsia="宋体" w:cs="宋体"/>
          <w:sz w:val="24"/>
          <w:szCs w:val="24"/>
          <w:highlight w:val="none"/>
        </w:rPr>
        <w:t>该项目楼宇始建于 1990 年，建成时间较早，现有消防设施设备老化损耗严重，整体消防安全保障能力</w:t>
      </w:r>
      <w:r>
        <w:rPr>
          <w:rFonts w:hint="eastAsia" w:ascii="宋体" w:hAnsi="宋体" w:cs="宋体"/>
          <w:sz w:val="24"/>
          <w:szCs w:val="24"/>
          <w:highlight w:val="none"/>
          <w:lang w:val="en-US" w:eastAsia="zh-CN"/>
        </w:rPr>
        <w:t>薄弱</w:t>
      </w:r>
      <w:r>
        <w:rPr>
          <w:rFonts w:ascii="宋体" w:hAnsi="宋体" w:eastAsia="宋体" w:cs="宋体"/>
          <w:sz w:val="24"/>
          <w:szCs w:val="24"/>
          <w:highlight w:val="none"/>
        </w:rPr>
        <w:t>。</w:t>
      </w:r>
      <w:r>
        <w:rPr>
          <w:rFonts w:hint="eastAsia" w:ascii="宋体" w:hAnsi="宋体" w:cs="宋体"/>
          <w:sz w:val="24"/>
          <w:szCs w:val="24"/>
          <w:highlight w:val="none"/>
          <w:lang w:val="en-US" w:eastAsia="zh-CN"/>
        </w:rPr>
        <w:t>本项目有</w:t>
      </w:r>
      <w:r>
        <w:rPr>
          <w:rFonts w:hint="eastAsia" w:ascii="宋体" w:hAnsi="宋体" w:cs="宋体"/>
          <w:sz w:val="24"/>
          <w:highlight w:val="none"/>
        </w:rPr>
        <w:t>宣传教育，开展民族文化、体育交流活动</w:t>
      </w:r>
      <w:r>
        <w:rPr>
          <w:rFonts w:hint="eastAsia" w:ascii="宋体" w:hAnsi="宋体" w:cs="宋体"/>
          <w:sz w:val="24"/>
          <w:highlight w:val="none"/>
          <w:lang w:val="en-US" w:eastAsia="zh-CN"/>
        </w:rPr>
        <w:t>场地</w:t>
      </w:r>
      <w:r>
        <w:rPr>
          <w:rFonts w:hint="eastAsia" w:ascii="宋体" w:hAnsi="宋体" w:cs="宋体"/>
          <w:sz w:val="24"/>
          <w:szCs w:val="24"/>
          <w:highlight w:val="none"/>
          <w:lang w:val="en-US" w:eastAsia="zh-CN"/>
        </w:rPr>
        <w:t>采购人</w:t>
      </w:r>
      <w:r>
        <w:rPr>
          <w:rFonts w:ascii="宋体" w:hAnsi="宋体" w:eastAsia="宋体" w:cs="宋体"/>
          <w:sz w:val="24"/>
          <w:szCs w:val="24"/>
          <w:highlight w:val="none"/>
        </w:rPr>
        <w:t>对本楼宇消防安全工作高度重视，为常态化落实消防管控、及时处置安全问题，需配置一名</w:t>
      </w:r>
      <w:r>
        <w:rPr>
          <w:rFonts w:hint="eastAsia" w:ascii="宋体" w:hAnsi="宋体" w:cs="宋体"/>
          <w:sz w:val="24"/>
          <w:szCs w:val="24"/>
          <w:highlight w:val="none"/>
          <w:lang w:val="en-US" w:eastAsia="zh-CN"/>
        </w:rPr>
        <w:t>持有一级注册消防工程师证的</w:t>
      </w:r>
      <w:r>
        <w:rPr>
          <w:rFonts w:ascii="宋体" w:hAnsi="宋体" w:eastAsia="宋体" w:cs="宋体"/>
          <w:sz w:val="24"/>
          <w:szCs w:val="24"/>
          <w:highlight w:val="none"/>
        </w:rPr>
        <w:t>专职消防安全</w:t>
      </w:r>
      <w:r>
        <w:rPr>
          <w:rFonts w:hint="eastAsia" w:ascii="宋体" w:hAnsi="宋体" w:cs="宋体"/>
          <w:sz w:val="24"/>
          <w:szCs w:val="24"/>
          <w:highlight w:val="none"/>
          <w:lang w:val="en-US" w:eastAsia="zh-CN"/>
        </w:rPr>
        <w:t>员</w:t>
      </w:r>
      <w:r>
        <w:rPr>
          <w:rFonts w:ascii="宋体" w:hAnsi="宋体" w:eastAsia="宋体" w:cs="宋体"/>
          <w:sz w:val="24"/>
          <w:szCs w:val="24"/>
          <w:highlight w:val="none"/>
        </w:rPr>
        <w:t>，全面承担现场消防安全日常管理、隐患排查、整改跟踪闭环等相关工作</w:t>
      </w:r>
      <w:r>
        <w:rPr>
          <w:rFonts w:hint="eastAsia" w:ascii="宋体" w:hAnsi="宋体" w:cs="宋体"/>
          <w:sz w:val="24"/>
          <w:szCs w:val="24"/>
          <w:highlight w:val="none"/>
          <w:lang w:eastAsia="zh-CN"/>
        </w:rPr>
        <w:t>。（</w:t>
      </w:r>
      <w:r>
        <w:rPr>
          <w:rFonts w:hint="eastAsia"/>
          <w:color w:val="auto"/>
          <w:sz w:val="24"/>
          <w:highlight w:val="none"/>
        </w:rPr>
        <w:t>提供</w:t>
      </w:r>
      <w:r>
        <w:rPr>
          <w:rFonts w:hint="eastAsia" w:ascii="宋体" w:hAnsi="宋体" w:cs="宋体"/>
          <w:sz w:val="24"/>
          <w:szCs w:val="24"/>
          <w:highlight w:val="none"/>
          <w:lang w:val="en-US" w:eastAsia="zh-CN"/>
        </w:rPr>
        <w:t>一级注册消防工程师</w:t>
      </w:r>
      <w:r>
        <w:rPr>
          <w:rFonts w:hint="eastAsia"/>
          <w:color w:val="auto"/>
          <w:sz w:val="24"/>
          <w:highlight w:val="none"/>
        </w:rPr>
        <w:t>证书原件的扫描件</w:t>
      </w:r>
      <w:r>
        <w:rPr>
          <w:rFonts w:hint="eastAsia"/>
          <w:color w:val="auto"/>
          <w:sz w:val="24"/>
          <w:highlight w:val="none"/>
          <w:lang w:val="en-US" w:eastAsia="zh-CN"/>
        </w:rPr>
        <w:t>或复印件</w:t>
      </w:r>
    </w:p>
    <w:p w14:paraId="14CB1021">
      <w:pPr>
        <w:pStyle w:val="4"/>
        <w:ind w:firstLine="240" w:firstLineChars="100"/>
        <w:rPr>
          <w:rFonts w:hint="eastAsia" w:eastAsia="宋体"/>
          <w:highlight w:val="none"/>
          <w:lang w:val="en-US" w:eastAsia="zh-CN"/>
        </w:rPr>
      </w:pPr>
      <w:r>
        <w:rPr>
          <w:rFonts w:hint="eastAsia" w:ascii="宋体" w:hAnsi="宋体" w:cs="宋体"/>
          <w:sz w:val="24"/>
          <w:szCs w:val="24"/>
          <w:highlight w:val="none"/>
          <w:lang w:eastAsia="zh-CN"/>
        </w:rPr>
        <w:t>）</w:t>
      </w:r>
    </w:p>
    <w:p w14:paraId="6DF86E29">
      <w:pPr>
        <w:keepNext w:val="0"/>
        <w:keepLines w:val="0"/>
        <w:pageBreakBefore w:val="0"/>
        <w:widowControl w:val="0"/>
        <w:numPr>
          <w:ilvl w:val="-1"/>
          <w:numId w:val="0"/>
        </w:numPr>
        <w:kinsoku/>
        <w:wordWrap/>
        <w:overflowPunct/>
        <w:topLinePunct w:val="0"/>
        <w:bidi w:val="0"/>
        <w:snapToGrid/>
        <w:spacing w:line="360" w:lineRule="auto"/>
        <w:ind w:firstLine="0" w:firstLineChars="0"/>
        <w:outlineLvl w:val="0"/>
        <w:rPr>
          <w:rFonts w:hint="eastAsia" w:ascii="宋体" w:hAnsi="宋体" w:eastAsia="宋体" w:cs="宋体"/>
          <w:sz w:val="24"/>
          <w:highlight w:val="none"/>
          <w:lang w:val="en-US" w:eastAsia="zh-CN"/>
        </w:rPr>
      </w:pPr>
    </w:p>
    <w:p w14:paraId="16C7D24A">
      <w:pPr>
        <w:keepNext w:val="0"/>
        <w:keepLines w:val="0"/>
        <w:pageBreakBefore w:val="0"/>
        <w:widowControl w:val="0"/>
        <w:numPr>
          <w:ilvl w:val="0"/>
          <w:numId w:val="1"/>
        </w:numPr>
        <w:kinsoku/>
        <w:wordWrap/>
        <w:overflowPunct/>
        <w:topLinePunct w:val="0"/>
        <w:bidi w:val="0"/>
        <w:snapToGrid/>
        <w:spacing w:line="360" w:lineRule="auto"/>
        <w:ind w:firstLine="482" w:firstLineChars="200"/>
        <w:outlineLvl w:val="0"/>
        <w:rPr>
          <w:rFonts w:hint="eastAsia" w:ascii="宋体" w:hAnsi="宋体" w:cs="宋体"/>
          <w:b/>
          <w:bCs/>
          <w:sz w:val="24"/>
          <w:highlight w:val="none"/>
        </w:rPr>
      </w:pPr>
      <w:r>
        <w:rPr>
          <w:rFonts w:hint="eastAsia" w:ascii="宋体" w:hAnsi="宋体" w:cs="宋体"/>
          <w:b/>
          <w:bCs/>
          <w:sz w:val="24"/>
          <w:highlight w:val="none"/>
        </w:rPr>
        <w:t>商务要求</w:t>
      </w:r>
    </w:p>
    <w:p w14:paraId="2F77D258">
      <w:pPr>
        <w:keepNext w:val="0"/>
        <w:keepLines w:val="0"/>
        <w:pageBreakBefore w:val="0"/>
        <w:widowControl w:val="0"/>
        <w:numPr>
          <w:ilvl w:val="0"/>
          <w:numId w:val="0"/>
        </w:numPr>
        <w:kinsoku/>
        <w:wordWrap/>
        <w:overflowPunct/>
        <w:topLinePunct w:val="0"/>
        <w:bidi w:val="0"/>
        <w:snapToGrid/>
        <w:spacing w:line="360" w:lineRule="auto"/>
        <w:ind w:firstLine="480" w:firstLineChars="200"/>
        <w:outlineLvl w:val="0"/>
        <w:rPr>
          <w:rFonts w:hint="eastAsia" w:ascii="宋体" w:hAnsi="宋体" w:eastAsia="宋体" w:cs="宋体"/>
          <w:sz w:val="24"/>
          <w:highlight w:val="none"/>
          <w:lang w:val="en-US" w:eastAsia="zh-CN"/>
        </w:rPr>
      </w:pPr>
      <w:r>
        <w:rPr>
          <w:rFonts w:hint="eastAsia" w:ascii="宋体" w:hAnsi="宋体" w:cs="宋体"/>
          <w:sz w:val="24"/>
          <w:highlight w:val="none"/>
        </w:rPr>
        <w:t>1.服务期限：</w:t>
      </w:r>
      <w:r>
        <w:rPr>
          <w:rFonts w:hint="eastAsia" w:ascii="宋体" w:hAnsi="宋体" w:cs="宋体"/>
          <w:b/>
          <w:bCs/>
          <w:sz w:val="24"/>
          <w:highlight w:val="none"/>
        </w:rPr>
        <w:t>自合同签订之日起</w:t>
      </w:r>
      <w:r>
        <w:rPr>
          <w:rFonts w:hint="eastAsia" w:ascii="宋体" w:hAnsi="宋体" w:cs="宋体"/>
          <w:b/>
          <w:bCs/>
          <w:sz w:val="24"/>
          <w:highlight w:val="none"/>
          <w:lang w:val="en-US" w:eastAsia="zh-CN"/>
        </w:rPr>
        <w:t>11</w:t>
      </w:r>
      <w:r>
        <w:rPr>
          <w:rFonts w:hint="eastAsia" w:ascii="宋体" w:hAnsi="宋体" w:cs="宋体"/>
          <w:b/>
          <w:bCs/>
          <w:sz w:val="24"/>
          <w:highlight w:val="none"/>
        </w:rPr>
        <w:t>个月。</w:t>
      </w:r>
      <w:r>
        <w:rPr>
          <w:rFonts w:hint="eastAsia" w:ascii="宋体" w:hAnsi="宋体" w:cs="宋体"/>
          <w:b/>
          <w:bCs/>
          <w:sz w:val="24"/>
          <w:highlight w:val="none"/>
          <w:lang w:val="en-US" w:eastAsia="zh-CN"/>
        </w:rPr>
        <w:tab/>
      </w:r>
    </w:p>
    <w:p w14:paraId="46B4A87C">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2.采用每年集中采购公开招标方式。</w:t>
      </w:r>
    </w:p>
    <w:p w14:paraId="12780860">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3.服务范围：北京市民族团结进步促进中心办公大楼、老干部活动中心及临时指定区域。</w:t>
      </w:r>
    </w:p>
    <w:p w14:paraId="2C20688A">
      <w:pPr>
        <w:keepNext w:val="0"/>
        <w:keepLines w:val="0"/>
        <w:pageBreakBefore w:val="0"/>
        <w:widowControl w:val="0"/>
        <w:kinsoku/>
        <w:wordWrap/>
        <w:overflowPunct/>
        <w:topLinePunct w:val="0"/>
        <w:bidi w:val="0"/>
        <w:snapToGrid/>
        <w:spacing w:line="360" w:lineRule="auto"/>
        <w:ind w:firstLine="480" w:firstLineChars="200"/>
        <w:outlineLvl w:val="0"/>
        <w:rPr>
          <w:rFonts w:hint="eastAsia" w:ascii="宋体" w:hAnsi="宋体" w:cs="宋体"/>
          <w:sz w:val="24"/>
          <w:highlight w:val="none"/>
        </w:rPr>
      </w:pPr>
      <w:r>
        <w:rPr>
          <w:rFonts w:hint="eastAsia" w:ascii="宋体" w:hAnsi="宋体" w:cs="宋体"/>
          <w:sz w:val="24"/>
          <w:highlight w:val="none"/>
        </w:rPr>
        <w:t>4.付款条件：服务费按一个季度付费方式付款，每季度服务费标准为全年服务费的25%,中标人应当为采购人开具合法有效发票，并交付给采购人，采购人支付应付费用。采购人付款前中标人应当将等额合法有效发票交付给采购人，否则采购人有权暂停付款并无需承担法律违约责任。</w:t>
      </w:r>
    </w:p>
    <w:p w14:paraId="26967EDC">
      <w:pPr>
        <w:keepNext w:val="0"/>
        <w:keepLines w:val="0"/>
        <w:pageBreakBefore w:val="0"/>
        <w:widowControl w:val="0"/>
        <w:kinsoku/>
        <w:wordWrap/>
        <w:overflowPunct/>
        <w:topLinePunct w:val="0"/>
        <w:bidi w:val="0"/>
        <w:snapToGrid/>
        <w:spacing w:line="360" w:lineRule="auto"/>
        <w:ind w:firstLine="480" w:firstLineChars="200"/>
        <w:outlineLvl w:val="0"/>
        <w:rPr>
          <w:rFonts w:hint="eastAsia" w:ascii="宋体" w:hAnsi="宋体" w:cs="宋体"/>
          <w:b w:val="0"/>
          <w:bCs w:val="0"/>
          <w:sz w:val="24"/>
          <w:highlight w:val="none"/>
          <w:lang w:val="en-US" w:eastAsia="zh-CN"/>
        </w:rPr>
      </w:pPr>
      <w:r>
        <w:rPr>
          <w:rFonts w:hint="eastAsia" w:ascii="宋体" w:hAnsi="宋体" w:cs="宋体"/>
          <w:sz w:val="24"/>
          <w:highlight w:val="none"/>
          <w:lang w:val="en-US" w:eastAsia="zh-CN"/>
        </w:rPr>
        <w:t>三、</w:t>
      </w:r>
      <w:r>
        <w:rPr>
          <w:rFonts w:hint="eastAsia" w:ascii="宋体" w:hAnsi="宋体" w:cs="宋体"/>
          <w:b w:val="0"/>
          <w:bCs w:val="0"/>
          <w:sz w:val="24"/>
          <w:highlight w:val="none"/>
          <w:lang w:val="en-US" w:eastAsia="zh-CN"/>
        </w:rPr>
        <w:t>节约型公共机构建设要求</w:t>
      </w:r>
    </w:p>
    <w:p w14:paraId="2BDF4CF2">
      <w:pPr>
        <w:keepNext w:val="0"/>
        <w:keepLines w:val="0"/>
        <w:pageBreakBefore w:val="0"/>
        <w:widowControl w:val="0"/>
        <w:kinsoku/>
        <w:wordWrap/>
        <w:overflowPunct/>
        <w:topLinePunct w:val="0"/>
        <w:bidi w:val="0"/>
        <w:snapToGrid/>
        <w:spacing w:line="360" w:lineRule="auto"/>
        <w:ind w:firstLine="480" w:firstLineChars="200"/>
        <w:outlineLvl w:val="0"/>
        <w:rPr>
          <w:rFonts w:hint="eastAsia" w:ascii="宋体" w:hAnsi="宋体" w:cs="宋体"/>
          <w:b w:val="0"/>
          <w:bCs w:val="0"/>
          <w:sz w:val="24"/>
          <w:highlight w:val="none"/>
          <w:lang w:val="en-US" w:eastAsia="zh-CN"/>
        </w:rPr>
      </w:pPr>
      <w:r>
        <w:rPr>
          <w:rFonts w:hint="eastAsia" w:ascii="宋体" w:hAnsi="宋体" w:cs="宋体"/>
          <w:b w:val="0"/>
          <w:bCs w:val="0"/>
          <w:sz w:val="24"/>
          <w:highlight w:val="none"/>
          <w:lang w:val="en-US" w:eastAsia="zh-CN"/>
        </w:rPr>
        <w:t>本项目为公共机构物业服务项目，乙方需落实节约型公共机构建设各项工作，配合甲方完成节约型机关创建、复核及机关事务部门节能督查工作。</w:t>
      </w:r>
    </w:p>
    <w:p w14:paraId="4B260BFE">
      <w:pPr>
        <w:keepNext w:val="0"/>
        <w:keepLines w:val="0"/>
        <w:pageBreakBefore w:val="0"/>
        <w:widowControl w:val="0"/>
        <w:kinsoku/>
        <w:wordWrap/>
        <w:overflowPunct/>
        <w:topLinePunct w:val="0"/>
        <w:bidi w:val="0"/>
        <w:snapToGrid/>
        <w:spacing w:line="360" w:lineRule="auto"/>
        <w:ind w:firstLine="480" w:firstLineChars="200"/>
        <w:outlineLvl w:val="0"/>
        <w:rPr>
          <w:rFonts w:hint="eastAsia" w:ascii="宋体" w:hAnsi="宋体" w:cs="宋体"/>
          <w:b w:val="0"/>
          <w:bCs w:val="0"/>
          <w:sz w:val="24"/>
          <w:highlight w:val="none"/>
          <w:lang w:val="en-US" w:eastAsia="zh-CN"/>
        </w:rPr>
      </w:pPr>
      <w:r>
        <w:rPr>
          <w:rFonts w:hint="eastAsia" w:ascii="宋体" w:hAnsi="宋体" w:cs="宋体"/>
          <w:b w:val="0"/>
          <w:bCs w:val="0"/>
          <w:sz w:val="24"/>
          <w:highlight w:val="none"/>
          <w:lang w:val="en-US" w:eastAsia="zh-CN"/>
        </w:rPr>
        <w:t>物业公司设置专职节能管理员，建立水电消耗台账，按月统计上报能耗数据；以往年能耗数据为基准，实现年用电量下降3%，用水量下降4%。公共区域灯具、供水器具全部采购节能、节水认证产品。严格管控空调温度，夏季制冷不低于26℃，冬季采暖不高于20℃，加强日常巡查，杜绝长明灯、水管跑冒滴漏及设备待机耗电问题。</w:t>
      </w:r>
    </w:p>
    <w:p w14:paraId="65AA1B3E">
      <w:pPr>
        <w:keepNext w:val="0"/>
        <w:keepLines w:val="0"/>
        <w:pageBreakBefore w:val="0"/>
        <w:widowControl w:val="0"/>
        <w:kinsoku/>
        <w:wordWrap/>
        <w:overflowPunct/>
        <w:topLinePunct w:val="0"/>
        <w:bidi w:val="0"/>
        <w:snapToGrid/>
        <w:spacing w:line="360" w:lineRule="auto"/>
        <w:ind w:firstLine="480" w:firstLineChars="200"/>
        <w:outlineLvl w:val="0"/>
        <w:rPr>
          <w:rFonts w:hint="eastAsia" w:ascii="宋体" w:hAnsi="宋体" w:cs="宋体"/>
          <w:b w:val="0"/>
          <w:bCs w:val="0"/>
          <w:sz w:val="24"/>
          <w:highlight w:val="none"/>
          <w:lang w:val="en-US" w:eastAsia="zh-CN"/>
        </w:rPr>
      </w:pPr>
      <w:r>
        <w:rPr>
          <w:rFonts w:hint="eastAsia" w:ascii="宋体" w:hAnsi="宋体" w:cs="宋体"/>
          <w:b w:val="0"/>
          <w:bCs w:val="0"/>
          <w:sz w:val="24"/>
          <w:highlight w:val="none"/>
          <w:lang w:val="en-US" w:eastAsia="zh-CN"/>
        </w:rPr>
        <w:t>落实垃圾分类管理，推行纸张双面使用，禁用一次性塑料制品，绿化浇灌采用节水方式，做好节能宣传工作，完善节能档案资料。</w:t>
      </w:r>
    </w:p>
    <w:p w14:paraId="31DAB8A3">
      <w:pPr>
        <w:pStyle w:val="2"/>
        <w:rPr>
          <w:rFonts w:hint="eastAsia"/>
          <w:highlight w:val="none"/>
        </w:rPr>
      </w:pPr>
    </w:p>
    <w:p w14:paraId="701A9D70">
      <w:pPr>
        <w:keepNext w:val="0"/>
        <w:keepLines w:val="0"/>
        <w:pageBreakBefore w:val="0"/>
        <w:widowControl w:val="0"/>
        <w:kinsoku/>
        <w:wordWrap/>
        <w:overflowPunct/>
        <w:topLinePunct w:val="0"/>
        <w:bidi w:val="0"/>
        <w:snapToGrid/>
        <w:spacing w:line="360" w:lineRule="auto"/>
        <w:ind w:firstLine="482" w:firstLineChars="200"/>
        <w:outlineLvl w:val="0"/>
        <w:rPr>
          <w:rFonts w:hint="eastAsia" w:ascii="宋体" w:hAnsi="宋体" w:cs="宋体"/>
          <w:b/>
          <w:bCs/>
          <w:sz w:val="24"/>
          <w:highlight w:val="none"/>
        </w:rPr>
      </w:pPr>
      <w:r>
        <w:rPr>
          <w:rFonts w:hint="eastAsia" w:ascii="宋体" w:hAnsi="宋体" w:cs="宋体"/>
          <w:b/>
          <w:bCs/>
          <w:sz w:val="24"/>
          <w:highlight w:val="none"/>
          <w:lang w:val="en-US" w:eastAsia="zh-CN"/>
        </w:rPr>
        <w:t>四</w:t>
      </w:r>
      <w:r>
        <w:rPr>
          <w:rFonts w:hint="eastAsia" w:ascii="宋体" w:hAnsi="宋体" w:cs="宋体"/>
          <w:b/>
          <w:bCs/>
          <w:sz w:val="24"/>
          <w:highlight w:val="none"/>
        </w:rPr>
        <w:t>、技术要求及服务标准</w:t>
      </w:r>
    </w:p>
    <w:p w14:paraId="7E0A30BE">
      <w:pPr>
        <w:keepNext w:val="0"/>
        <w:keepLines w:val="0"/>
        <w:pageBreakBefore w:val="0"/>
        <w:widowControl w:val="0"/>
        <w:kinsoku/>
        <w:wordWrap/>
        <w:overflowPunct/>
        <w:topLinePunct w:val="0"/>
        <w:bidi w:val="0"/>
        <w:snapToGrid/>
        <w:spacing w:line="360" w:lineRule="auto"/>
        <w:ind w:firstLine="482" w:firstLineChars="200"/>
        <w:outlineLvl w:val="0"/>
        <w:rPr>
          <w:rFonts w:ascii="宋体" w:hAnsi="宋体" w:cs="宋体"/>
          <w:b/>
          <w:bCs/>
          <w:sz w:val="24"/>
          <w:highlight w:val="none"/>
        </w:rPr>
      </w:pPr>
      <w:r>
        <w:rPr>
          <w:rFonts w:hint="eastAsia" w:ascii="宋体" w:hAnsi="宋体" w:cs="宋体"/>
          <w:b/>
          <w:bCs/>
          <w:sz w:val="24"/>
          <w:highlight w:val="none"/>
        </w:rPr>
        <w:t xml:space="preserve">（一）基本服务 </w:t>
      </w:r>
    </w:p>
    <w:p w14:paraId="4A9A9862">
      <w:pPr>
        <w:keepNext w:val="0"/>
        <w:keepLines w:val="0"/>
        <w:pageBreakBefore w:val="0"/>
        <w:widowControl w:val="0"/>
        <w:kinsoku/>
        <w:wordWrap/>
        <w:overflowPunct/>
        <w:topLinePunct w:val="0"/>
        <w:bidi w:val="0"/>
        <w:snapToGrid/>
        <w:spacing w:line="360" w:lineRule="auto"/>
        <w:ind w:firstLine="482" w:firstLineChars="200"/>
        <w:outlineLvl w:val="0"/>
        <w:rPr>
          <w:rFonts w:ascii="宋体" w:hAnsi="宋体" w:cs="宋体"/>
          <w:sz w:val="24"/>
          <w:highlight w:val="none"/>
        </w:rPr>
      </w:pPr>
      <w:r>
        <w:rPr>
          <w:rFonts w:hint="eastAsia" w:ascii="宋体" w:hAnsi="宋体" w:cs="宋体"/>
          <w:b/>
          <w:bCs/>
          <w:sz w:val="24"/>
          <w:highlight w:val="none"/>
        </w:rPr>
        <w:t>1.服务内容</w:t>
      </w:r>
      <w:r>
        <w:rPr>
          <w:rFonts w:hint="eastAsia" w:ascii="宋体" w:hAnsi="宋体" w:cs="宋体"/>
          <w:sz w:val="24"/>
          <w:highlight w:val="none"/>
        </w:rPr>
        <w:t xml:space="preserve"> </w:t>
      </w:r>
    </w:p>
    <w:p w14:paraId="5CC0A420">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1.1.保洁服务：对房屋建筑室内、室外及公共区域进行日常及定期保洁服务；</w:t>
      </w:r>
    </w:p>
    <w:p w14:paraId="0FC92CCF">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1.2.消防中控服务：对大楼提供 24 小时消防监控服务以及初期火灾的处理；</w:t>
      </w:r>
    </w:p>
    <w:p w14:paraId="25B1302A">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1.3.综合维修：对房屋建筑及设备设施日常小修服务；；</w:t>
      </w:r>
    </w:p>
    <w:p w14:paraId="4A850421">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1.4.配电室：对大楼配电室提供 24 小时值班服务；</w:t>
      </w:r>
    </w:p>
    <w:p w14:paraId="403A0FD7">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1.5.楼内的日常安全巡视；</w:t>
      </w:r>
    </w:p>
    <w:p w14:paraId="656743CE">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1.6.重大活动的后勤保障；</w:t>
      </w:r>
    </w:p>
    <w:p w14:paraId="442F2675">
      <w:pPr>
        <w:keepNext w:val="0"/>
        <w:keepLines w:val="0"/>
        <w:pageBreakBefore w:val="0"/>
        <w:widowControl w:val="0"/>
        <w:kinsoku/>
        <w:wordWrap/>
        <w:overflowPunct/>
        <w:topLinePunct w:val="0"/>
        <w:bidi w:val="0"/>
        <w:snapToGrid/>
        <w:spacing w:line="360" w:lineRule="auto"/>
        <w:ind w:firstLine="480" w:firstLineChars="200"/>
        <w:outlineLvl w:val="0"/>
        <w:rPr>
          <w:rFonts w:hint="eastAsia" w:ascii="宋体" w:hAnsi="宋体" w:cs="宋体"/>
          <w:sz w:val="24"/>
          <w:highlight w:val="none"/>
        </w:rPr>
      </w:pPr>
      <w:r>
        <w:rPr>
          <w:rFonts w:hint="eastAsia" w:ascii="宋体" w:hAnsi="宋体" w:cs="宋体"/>
          <w:sz w:val="24"/>
          <w:highlight w:val="none"/>
        </w:rPr>
        <w:t>1.7.采购人交办的临时性工作。</w:t>
      </w:r>
    </w:p>
    <w:p w14:paraId="38416255">
      <w:pPr>
        <w:keepNext w:val="0"/>
        <w:keepLines w:val="0"/>
        <w:pageBreakBefore w:val="0"/>
        <w:widowControl w:val="0"/>
        <w:kinsoku/>
        <w:wordWrap/>
        <w:overflowPunct/>
        <w:topLinePunct w:val="0"/>
        <w:bidi w:val="0"/>
        <w:snapToGrid/>
        <w:spacing w:line="360" w:lineRule="auto"/>
        <w:ind w:firstLine="482" w:firstLineChars="200"/>
        <w:outlineLvl w:val="0"/>
        <w:rPr>
          <w:rFonts w:ascii="宋体" w:hAnsi="宋体" w:cs="宋体"/>
          <w:b/>
          <w:bCs/>
          <w:sz w:val="24"/>
          <w:highlight w:val="none"/>
        </w:rPr>
      </w:pPr>
      <w:r>
        <w:rPr>
          <w:rFonts w:hint="eastAsia" w:ascii="宋体" w:hAnsi="宋体" w:cs="宋体"/>
          <w:b/>
          <w:bCs/>
          <w:sz w:val="24"/>
          <w:highlight w:val="none"/>
        </w:rPr>
        <w:t>2.服务标准</w:t>
      </w:r>
    </w:p>
    <w:p w14:paraId="5FE181ED">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 xml:space="preserve">2.1 目标与责任 结合采购人要求及物业服务实际情况，制定年度管理目标，明确责任分工，并制定配套实施方案。 </w:t>
      </w:r>
    </w:p>
    <w:p w14:paraId="0E2EC549">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 xml:space="preserve">2.2 服务人员要求 </w:t>
      </w:r>
    </w:p>
    <w:p w14:paraId="55A70E99">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 xml:space="preserve">2.2.1 每季度至少开展 1 次岗位技能、职业素质、服务知识、客户文化、绿色节能环保等教育培训，并进行适当形式的考核。 </w:t>
      </w:r>
    </w:p>
    <w:p w14:paraId="48A25665">
      <w:pPr>
        <w:keepNext w:val="0"/>
        <w:keepLines w:val="0"/>
        <w:pageBreakBefore w:val="0"/>
        <w:widowControl w:val="0"/>
        <w:kinsoku/>
        <w:wordWrap/>
        <w:overflowPunct/>
        <w:topLinePunct w:val="0"/>
        <w:bidi w:val="0"/>
        <w:snapToGrid/>
        <w:spacing w:line="360" w:lineRule="auto"/>
        <w:ind w:left="210" w:leftChars="100" w:firstLine="240" w:firstLineChars="100"/>
        <w:outlineLvl w:val="0"/>
        <w:rPr>
          <w:rFonts w:ascii="宋体" w:hAnsi="宋体" w:cs="宋体"/>
          <w:sz w:val="24"/>
          <w:highlight w:val="none"/>
        </w:rPr>
      </w:pPr>
      <w:r>
        <w:rPr>
          <w:rFonts w:hint="eastAsia" w:ascii="宋体" w:hAnsi="宋体" w:cs="宋体"/>
          <w:sz w:val="24"/>
          <w:highlight w:val="none"/>
        </w:rPr>
        <w:t xml:space="preserve">2.2.2 根据采购人要求对服务人员进行从业资格审查，审查结果向采购人报备。    2.2.3 服务人员的年龄、学历、工作经验及资格条件应当与所在岗位能力要求相匹配，到岗前应当经过必要的岗前培训以达到岗位能力要求，国家、行业规定应当取得职业资格证书或特种作业证书的，应当按规定持证上岗。 </w:t>
      </w:r>
    </w:p>
    <w:p w14:paraId="7C39AF53">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2.2.4 如采购人认为服务人员不适应岗位要求或存在其他影响工作的，可要求供应商进行调换。如因供应商原因对服务人员进行调换，应当经采购人同意，更换比例不得超过本项目服务人员总数的20%。</w:t>
      </w:r>
    </w:p>
    <w:p w14:paraId="6C821F17">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 xml:space="preserve">2.2.5 着装分类统一，佩戴标识。仪容整洁、姿态端正、举止文明。用语文明礼貌，态度温和耐心。 </w:t>
      </w:r>
    </w:p>
    <w:p w14:paraId="6DAB4E9B">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 xml:space="preserve">2.3 保密和思想政治教育 </w:t>
      </w:r>
    </w:p>
    <w:p w14:paraId="1F65F089">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 xml:space="preserve">2.3.1 建立保密管理制度。制度内容应当包括但不限于：①明确重点要害岗位保密职责。②对涉密工作岗位的保密要求。 </w:t>
      </w:r>
    </w:p>
    <w:p w14:paraId="7669FD8F">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 xml:space="preserve">2.3.2 根据采购人要求与涉密工作岗位的服务人员签订保密协议。保密协议应当向采购人报备。 </w:t>
      </w:r>
    </w:p>
    <w:p w14:paraId="661ADFC9">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 xml:space="preserve">2.3.3 每季度至少开展 1 次对服务人员进行保密、思想政治教育的培训，提高服务人员保密意识和思想政治意识。新入职员工应当接受保密、思想政治教育培训，进行必要的人员经历审查，合格后签订保密协议方可上岗。 </w:t>
      </w:r>
    </w:p>
    <w:p w14:paraId="4C954751">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2.3.4 发现服务人员违法违规或重大过失，及时报告采购人，并采取必要补救措施。</w:t>
      </w:r>
    </w:p>
    <w:p w14:paraId="0CBF1B19">
      <w:pPr>
        <w:keepNext w:val="0"/>
        <w:keepLines w:val="0"/>
        <w:pageBreakBefore w:val="0"/>
        <w:widowControl w:val="0"/>
        <w:kinsoku/>
        <w:wordWrap/>
        <w:overflowPunct/>
        <w:topLinePunct w:val="0"/>
        <w:bidi w:val="0"/>
        <w:snapToGrid/>
        <w:spacing w:line="360" w:lineRule="auto"/>
        <w:ind w:firstLine="480" w:firstLineChars="200"/>
        <w:outlineLvl w:val="0"/>
        <w:rPr>
          <w:rFonts w:ascii="宋体" w:hAnsi="宋体" w:cs="宋体"/>
          <w:sz w:val="24"/>
          <w:highlight w:val="none"/>
        </w:rPr>
      </w:pPr>
      <w:r>
        <w:rPr>
          <w:rFonts w:hint="eastAsia" w:ascii="宋体" w:hAnsi="宋体" w:cs="宋体"/>
          <w:sz w:val="24"/>
          <w:highlight w:val="none"/>
        </w:rPr>
        <w:t xml:space="preserve">2.4 档案管理 </w:t>
      </w:r>
    </w:p>
    <w:p w14:paraId="01739A08">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2.4.1 建立物业信息，准确、及时地对文件资料和服务记录进行归档保存，并确保其物理安全。</w:t>
      </w:r>
    </w:p>
    <w:p w14:paraId="7A24D326">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2.4.2 档案和记录齐全，包括但不限于： </w:t>
      </w:r>
    </w:p>
    <w:p w14:paraId="06AB5134">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1）采购人建议与投诉等。教育培训和考核记录。保密、思想政治教育培训记录。接待投诉时，投诉内容、处理结果及反馈意见及时。表：包括管理所设立的各类表格、质量记录表、使用情况表、回访表、洽商申请表等。</w:t>
      </w:r>
    </w:p>
    <w:p w14:paraId="4A4B81E1">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2）房屋维护服务：房屋台账、使用说明、房屋装修、维保记录等。图：包括房屋平面图、竣工图、管道走向图、污井下水道位置图、体内线路图、各房屋布置图。档：包括办公楼接管验收记录、管理合同副本、房屋产权证。册：包括房屋建筑册，房屋使用册，绿化管理册、付费记录手册等。后期改造工程图纸等及时制图并存档。</w:t>
      </w:r>
    </w:p>
    <w:p w14:paraId="6A234ABB">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3）公用设施设备维护服务：设备台账、设备卡、使用说明、维保记录、巡查记录、设施设备安全运行、设施设备定期巡检、维护保养、维修档案等。维修更新时，维修更新后的物业变动情况记录在册及时。卡：包括设备保养卡、维修记录卡。 </w:t>
      </w:r>
    </w:p>
    <w:p w14:paraId="68056FBC">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（4）保洁服务：工作日志、清洁检查表、用品清单、客户反馈表等。</w:t>
      </w:r>
    </w:p>
    <w:p w14:paraId="76B6770E">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（5）其他：客户信息、财务明细、合同协议、信报信息登记、大件物品进出登记等。 </w:t>
      </w:r>
    </w:p>
    <w:p w14:paraId="1857C27D">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（6）物业接管时，所有原始记录资料交接及时。</w:t>
      </w:r>
    </w:p>
    <w:p w14:paraId="55432807">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（7）物业入住时，全面掌握各部门及个人基本情况。</w:t>
      </w:r>
    </w:p>
    <w:p w14:paraId="370D81A8">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2.4.3 遵守采购人的信息、档案资料保密要求，未经许可，不得将建筑物平面图等资料转作其他用途或向其他单位、个人提供。 </w:t>
      </w:r>
    </w:p>
    <w:p w14:paraId="2F8994EB">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2.4.4 履约结束后，相关资料交还采购人，采购人按政府采购相关规定存档。 2.5 服务改进 </w:t>
      </w:r>
    </w:p>
    <w:p w14:paraId="21192C60">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2.5.1 明确负责人，定期对物业服务过程进行自查，结合反馈意见与评价结果采取改进措施，持续提升管理与服务水平。 </w:t>
      </w:r>
    </w:p>
    <w:p w14:paraId="01B3757B">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2.5.2 对不合格服务进行控制，对不合格服务的原因进行识别和分析，及时采取纠正措施，消除不合格的原因，防止不合格再发生。 </w:t>
      </w:r>
    </w:p>
    <w:p w14:paraId="256D420F">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2.5.3 需整改问题及时整改完成。 </w:t>
      </w:r>
    </w:p>
    <w:p w14:paraId="65B80D60">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2.6 重大活动后勤保障 </w:t>
      </w:r>
    </w:p>
    <w:p w14:paraId="4A9C38DF">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2.6.1 制订流程。配合采购人制订重大活动后勤保障工作流程，需对任务进行 详细了解，并根据工作安排制定详细的后勤保障计划。 </w:t>
      </w:r>
    </w:p>
    <w:p w14:paraId="3B221429">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2.6.2 实施保障。按计划在关键区域和重点部位进行部署，确保任务顺利进行，对活动区域进行全面安全检查，发现并排除安全隐患，对车辆进行有序引导和管理，确保交通安全畅通，以礼貌、专业的态度对待来宾，展现良好形象 </w:t>
      </w:r>
    </w:p>
    <w:p w14:paraId="67A0B700">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2.6.3 收尾工作。对现场进行检查，做好清理工作。 </w:t>
      </w:r>
    </w:p>
    <w:p w14:paraId="69382F6C">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2.7 应急保障预案 </w:t>
      </w:r>
    </w:p>
    <w:p w14:paraId="777157FC">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2.7.1 重点区域及安全隐患排查。结合项目的实际情况，对重点部位及危险隐患进行排查，并建立清单及台账；应当对危险隐患进行风险分析，制定相应措施进行控制或整改并定期监控；随着设施设备、服务内容的变化，及时更新清单/台账，使风险隐患始终处于受控状态。 </w:t>
      </w:r>
    </w:p>
    <w:p w14:paraId="40F49757">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2.7.2 建立应急预案。根据大楼隐患排查的结果和实际情况，制定专项预案，包括但不限于：火情火警紧急处理应急预案、紧急疏散应急预案、停水停电应急预案、有限空间救援应急预案、高空作业救援应急预案、恶劣天气应对应急预案等。 </w:t>
      </w:r>
    </w:p>
    <w:p w14:paraId="28D8AD63">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2.7.3 应急预案的培训和演练。应急预案定期培训和演练，组织相关岗位每半年至少开展一次专项应急预案演练；留存培训及演练记录和影像资料，并对预案进行评价，确保与实际情况相结合。 </w:t>
      </w:r>
    </w:p>
    <w:p w14:paraId="3E441CBA">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2.7.4 应急物资的管理。根据专项预案中的应对需要、必要的应急物资，建立清单或台账，并由专人定期对应急物资进行检查，如有应急物资不足，及时通知采购人购置齐全，确保能够随时正常使用。 </w:t>
      </w:r>
    </w:p>
    <w:p w14:paraId="5778FEC0">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2.8 服务方案及工作制度 </w:t>
      </w:r>
    </w:p>
    <w:p w14:paraId="4C444AB9">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2.8.1 制定工作制度，主要包括：人员录用制度、档案管理制度、物业服务管理制度、公用设施设备相关管理制度等。 </w:t>
      </w:r>
    </w:p>
    <w:p w14:paraId="0BEC2D0E">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2.8.2 制定项目实施方案，主要包括：交接方案、人员培训方案、人员稳定性方案、保密方案等。</w:t>
      </w:r>
    </w:p>
    <w:p w14:paraId="4066AE5B">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2.8.3 制定物业服务方案，主要包括：房屋维护服务方案、公用设施设备维护服务方案、保洁服务方案等。</w:t>
      </w:r>
    </w:p>
    <w:p w14:paraId="41097AA6">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2.9 对邮件、包裹等进行正确分理、安全检查和防疫卫生检查。 </w:t>
      </w:r>
    </w:p>
    <w:p w14:paraId="37766753">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2.9.1 及时投送或通知收件人领取。 </w:t>
      </w:r>
    </w:p>
    <w:p w14:paraId="0D1D7271">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2.9.2 大件物品出入向采购人报告，待采购人确认无误后放行。 </w:t>
      </w:r>
    </w:p>
    <w:p w14:paraId="5C97967A">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2.10 服务热线及紧急维修 </w:t>
      </w:r>
    </w:p>
    <w:p w14:paraId="419DEF71">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2.10.1 设置 24 小时报修服务热线。 </w:t>
      </w:r>
    </w:p>
    <w:p w14:paraId="3279B140">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sz w:val="24"/>
          <w:highlight w:val="none"/>
        </w:rPr>
        <w:t xml:space="preserve">2.10.2 紧急维修应当 15 分钟内到达现场，不间断维修直至修复。 </w:t>
      </w:r>
    </w:p>
    <w:p w14:paraId="590ADF2F">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b/>
          <w:bCs/>
          <w:sz w:val="24"/>
          <w:highlight w:val="none"/>
        </w:rPr>
      </w:pPr>
      <w:r>
        <w:rPr>
          <w:rFonts w:hint="eastAsia" w:ascii="宋体" w:hAnsi="宋体" w:cs="宋体"/>
          <w:b/>
          <w:bCs/>
          <w:sz w:val="24"/>
          <w:highlight w:val="none"/>
        </w:rPr>
        <w:t xml:space="preserve">（二）建筑物日常养护维修服务 </w:t>
      </w:r>
    </w:p>
    <w:p w14:paraId="06484BAB">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b/>
          <w:bCs/>
          <w:sz w:val="24"/>
          <w:highlight w:val="none"/>
        </w:rPr>
        <w:t>1.服务内容：</w:t>
      </w:r>
      <w:r>
        <w:rPr>
          <w:rFonts w:hint="eastAsia" w:ascii="宋体" w:hAnsi="宋体" w:cs="宋体"/>
          <w:sz w:val="24"/>
          <w:highlight w:val="none"/>
        </w:rPr>
        <w:t>主体结构、维护结构、部品部件等相关的区域其他项目巡查、维护、维修、管理内容，包括但不限于：房屋结构、室内地面，室内各类顶板，门（含门面、门锁、铰链及闭门器等）、窗户、窗玻璃、窗台、窗套、锁、铝合金窗柜、楼梯扶手维修，办公桌抽屉锁、抽屉排锁维修，隔断、井盖、篦子、地沟、各类雨水及污水管道、围墙（栏）等。</w:t>
      </w:r>
    </w:p>
    <w:p w14:paraId="2017B578">
      <w:pPr>
        <w:keepNext w:val="0"/>
        <w:keepLines w:val="0"/>
        <w:pageBreakBefore w:val="0"/>
        <w:widowControl w:val="0"/>
        <w:kinsoku/>
        <w:wordWrap/>
        <w:overflowPunct/>
        <w:topLinePunct w:val="0"/>
        <w:bidi w:val="0"/>
        <w:snapToGrid/>
        <w:spacing w:line="360" w:lineRule="auto"/>
        <w:ind w:left="420" w:leftChars="200"/>
        <w:outlineLvl w:val="0"/>
        <w:rPr>
          <w:rFonts w:hint="eastAsia" w:ascii="宋体" w:hAnsi="宋体" w:cs="宋体"/>
          <w:sz w:val="24"/>
          <w:highlight w:val="none"/>
        </w:rPr>
      </w:pPr>
      <w:r>
        <w:rPr>
          <w:rFonts w:hint="eastAsia" w:ascii="宋体" w:hAnsi="宋体" w:cs="宋体"/>
          <w:b/>
          <w:bCs/>
          <w:sz w:val="24"/>
          <w:highlight w:val="none"/>
        </w:rPr>
        <w:t>2.服务标准</w:t>
      </w:r>
      <w:r>
        <w:rPr>
          <w:rFonts w:hint="eastAsia" w:ascii="宋体" w:hAnsi="宋体" w:cs="宋体"/>
          <w:sz w:val="24"/>
          <w:highlight w:val="none"/>
        </w:rPr>
        <w:t xml:space="preserve">：确保房屋的完好等级和正常使用；及时完成各项零星维修任务，零星维修合格率 100%。 </w:t>
      </w:r>
    </w:p>
    <w:p w14:paraId="5523370F">
      <w:pPr>
        <w:keepNext w:val="0"/>
        <w:keepLines w:val="0"/>
        <w:pageBreakBefore w:val="0"/>
        <w:widowControl w:val="0"/>
        <w:kinsoku/>
        <w:wordWrap/>
        <w:overflowPunct/>
        <w:topLinePunct w:val="0"/>
        <w:bidi w:val="0"/>
        <w:snapToGrid/>
        <w:spacing w:line="360" w:lineRule="auto"/>
        <w:ind w:left="420" w:leftChars="200"/>
        <w:outlineLvl w:val="0"/>
        <w:rPr>
          <w:rFonts w:ascii="宋体" w:hAnsi="宋体" w:cs="宋体"/>
          <w:sz w:val="24"/>
          <w:highlight w:val="none"/>
        </w:rPr>
      </w:pPr>
      <w:r>
        <w:rPr>
          <w:rFonts w:hint="eastAsia" w:ascii="宋体" w:hAnsi="宋体" w:cs="宋体"/>
          <w:sz w:val="24"/>
          <w:highlight w:val="none"/>
        </w:rPr>
        <w:t xml:space="preserve">2.1 保证建筑、结构和设施设备完好率达到 100％。 </w:t>
      </w:r>
    </w:p>
    <w:p w14:paraId="0D5E2E25">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2.2 楼内外无违章乱张贴、乱搭建、乱拉管线等现象，不得对建筑、结构、设施设备等进行改动,不得擅自改变房屋用途。 </w:t>
      </w:r>
    </w:p>
    <w:p w14:paraId="432E99F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2.3 确保各类设备设施的日常养护维修，每日检查 1 遍,及时完成各项零修、报修任务，接到报修后 30 分钟内到达现场，一般维修任务不超过 12 小时。 </w:t>
      </w:r>
    </w:p>
    <w:p w14:paraId="05CFD6D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 保证大楼的正常使用，根据年均损耗量拟定年度工作计划。 </w:t>
      </w:r>
    </w:p>
    <w:p w14:paraId="38383DF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2.5 对大楼适时组织巡查，确保办公大楼外观完好、整洁；室外招牌整洁统一无安全隐患，墙面装饰无破损，确保房屋、门窗等共用设施的完好和正常使用，确保室外场地、道路等公用设施的完好和正常使用，做好巡查记录。需要维修，属于小修范围的，及时组织修复；并建立房屋巡查台帐，记录房屋的运行、检查、保养、维修记录；属于大、中修范围或者需要更新改造的，协助采购人制定维修计划与方案，提出报告与建议。 </w:t>
      </w:r>
    </w:p>
    <w:p w14:paraId="16DFCFFF">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2.6 维修现场垃圾污物杂物清理干净卫生，保持维修现场整洁。 </w:t>
      </w:r>
    </w:p>
    <w:p w14:paraId="05580EB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2.7  每季度至少开展 1 次房屋结构安全巡视，发现外观有变形、开裂等现象，及时建议采购人申请房屋安全鉴定，并采取必要的避险和防护措施。</w:t>
      </w:r>
    </w:p>
    <w:p w14:paraId="027AB91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2.8 每季度至少开展 1 次外墙贴饰面、幕墙玻璃、雨篷、散水、空调室外机支撑构件等检查，发现破损，及时向采购人报告，提出具体维修方案，采购人同意后并协助采购人按维修方案实施维修。</w:t>
      </w:r>
    </w:p>
    <w:p w14:paraId="3B4A103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2.9 每半月至少开展 1 次公用部位的门、窗、楼梯、通风道、室内地面、墙面、吊顶和室外屋面等巡查，发现破损，及时向采购人报告，提出具体维修方案，采购人同意后并协助采购人按维修方案实施维修。 </w:t>
      </w:r>
    </w:p>
    <w:p w14:paraId="3C1F443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2.10 每年强降雨天气前后、雨雪季节检查屋面防水和雨落管等，发现破损，及时向采购人报告，提出具体维修方案，采购人同意后并协助采购人按维修方案实施维修。</w:t>
      </w:r>
    </w:p>
    <w:p w14:paraId="72339EC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2.11 办公楼外观完好，建筑装饰面无脱落、无破损、无污渍，玻璃幕墙清洁明亮、无破损。 </w:t>
      </w:r>
    </w:p>
    <w:p w14:paraId="76F0C86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2.12 通道、楼梯、门窗等设施的完好和正常使用。 </w:t>
      </w:r>
    </w:p>
    <w:p w14:paraId="584F034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2.13 每半月至少开展 1 次大门、围墙、道路、场地、管井、沟渠等巡查，每半月至少检查 1 次雨污水管井、化粪池等巡查，发现破损，及时向采购人报告，提出具体维修方案，采购人同意后并协助采购人按维修方案实施维修。</w:t>
      </w:r>
    </w:p>
    <w:p w14:paraId="4B41F1A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2.14 路面状态良好，地漏通畅不堵塞。  </w:t>
      </w:r>
    </w:p>
    <w:p w14:paraId="127A188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2.15 装饰装修前，供应商应当与采购人或采购人委托的装修企业签订装饰装修管理服务协议，告知装饰装修须知，并对装饰装修过程进行管理服务。 </w:t>
      </w:r>
    </w:p>
    <w:p w14:paraId="4CB76B4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2.16 根据协议内容，做好装修垃圾临时堆放、清运等。 </w:t>
      </w:r>
    </w:p>
    <w:p w14:paraId="7002A15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2.17 受采购人委托对房屋内装修进行严格的监督管理，发现问题及时上报，确保不因装修而危及大楼结构安全、人身安全和影响正常办公秩序。 </w:t>
      </w:r>
    </w:p>
    <w:p w14:paraId="282307A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2.18 标识标牌符合《公共信息图形符号 第 1 部分：通用符号》（GB/T 10001.1） 的相关要求，消防与安全标识符合《安全标志及其使用导则》（GB2894）、《消防安全标志第 1 部分：标志》（GB13495.1）的相关要求。 </w:t>
      </w:r>
    </w:p>
    <w:p w14:paraId="6CC0C6A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2.19 每月至少检查 1 次标识标牌和消防与安全标识。应当规范清晰、路线指引正确、安装稳固。 </w:t>
      </w:r>
    </w:p>
    <w:p w14:paraId="159BCADF">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（三）公共设施设备维护服务 </w:t>
      </w:r>
    </w:p>
    <w:p w14:paraId="23E34AA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1.公用设施设备维护服务基本要求 </w:t>
      </w:r>
    </w:p>
    <w:p w14:paraId="352CC4A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1.1 重大节假日及恶劣天气前后，组织系统巡检 1 次。 </w:t>
      </w:r>
    </w:p>
    <w:p w14:paraId="565BFCA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1.2 具备设施设备安全、稳定运行的环境和场所（含有限空间），温湿度、照度、粉尘和烟雾浓度等符合相关安全规范。 </w:t>
      </w:r>
    </w:p>
    <w:p w14:paraId="11962CC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2.设备机房 </w:t>
      </w:r>
    </w:p>
    <w:p w14:paraId="5E327735">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2.1 设备机房门口有机房类别及安全标志。落实各类机房责任人、督查人，且设备系统图、应急预案流程图、管理制度、特种作业人员资格证书等上墙文件或证书符合各设备机房国家及北京市标准规范要求，机房巡视及外来人员记录清晰完整，标识统一。 </w:t>
      </w:r>
    </w:p>
    <w:p w14:paraId="7B44FB5D">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2.2 设备机房门窗、锁具应当完好、有效。 </w:t>
      </w:r>
    </w:p>
    <w:p w14:paraId="2018640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2.3 每半月至少开展 1 次清洁，整洁有序、无杂物、无积尘、无鼠、无虫害，温湿度符合设备运行要求。2.4 按各设备机房国家及北京市标准规范规定维护/保管消防、通风、应急照明，防止小动物进入。 </w:t>
      </w:r>
    </w:p>
    <w:p w14:paraId="778DC45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 安全防护用具配置齐全，检验合格。 </w:t>
      </w:r>
    </w:p>
    <w:p w14:paraId="7AF5131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2.5 应急设施设备用品应当齐全、完备，可随时启用。 </w:t>
      </w:r>
    </w:p>
    <w:p w14:paraId="1BF6DD2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3.给排水系统管理服务 </w:t>
      </w:r>
    </w:p>
    <w:p w14:paraId="1E420BE1">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3.1 服务内容 </w:t>
      </w:r>
    </w:p>
    <w:p w14:paraId="10CDEC4D">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3.1.1 对办公楼（区）室内外给排水系统的设备、设施，如水泵、水箱、消火栓、管道、管件、阀门、水嘴、卫生洁具、排水管、透气管及室外排水管及其附属构筑物等正常运行使用进行日常巡视检查。 </w:t>
      </w:r>
    </w:p>
    <w:p w14:paraId="42E1194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3.1.2 楼内外及地下给排水所使用的管道、阀门、水表等所有的配套设施设备；楼内外及地下给排水所用的水池、水箱、水沟、水井、水坑、化粪池等所有的配套设施设备； </w:t>
      </w:r>
    </w:p>
    <w:p w14:paraId="1A837A0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3.1.3 给排水所用的电机、水泵、管道、阀门、供电管线及配电控制设施设备等所有给排水，正常运行所需要配合的所有设施设备； </w:t>
      </w:r>
    </w:p>
    <w:p w14:paraId="79FA429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3.1.4 卫生间给排水所用的管道、阀门、蹲坑、小便斗、坐便器、拖把池、面盆、水嘴等； </w:t>
      </w:r>
    </w:p>
    <w:p w14:paraId="47DB21A5">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3.1.5 办公区内的所有公共开水器的给排水所用管道、阀门、电器及配电控制设施设备等；  </w:t>
      </w:r>
    </w:p>
    <w:p w14:paraId="142ED4D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 服务标准 </w:t>
      </w:r>
    </w:p>
    <w:p w14:paraId="5714C21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3.2.1 加强日常检查巡视，保证给排水系统正常运行使用。建立正常供水管理制度，保证水质符合国家标准，防止跑、冒、滴、漏，对供水系统管路、水泵、水箱、阀门等进行日常巡视检查和定期检修，水箱保持清洁卫生并定期（可选具体时间间隔）消毒，保持水池、水箱的清洁卫生，防止二次污染（水箱清洗及其费用不包含在内）。 </w:t>
      </w:r>
    </w:p>
    <w:p w14:paraId="7254720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3.2.2 定期对水泵房及机电设备进行检查、保养、维修、清洁。保持供水系统的正常运转，每周检查水泵运转情况；其中消防泵启动不少于每年 2 次。 </w:t>
      </w:r>
    </w:p>
    <w:p w14:paraId="165D615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3.2.3 每季度至少开展 1 次对排水管进行疏通、清污，保证室内外排水系统通畅；及时发现并解决故障，零维修合格率 100%。 </w:t>
      </w:r>
    </w:p>
    <w:p w14:paraId="7436096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3.2.4 每日必须对各种给排水设施、设备进行巡查，压力符合要求，仪表指示准确，并建立设施设备台帐，记录设施设备的运行、检查、保养、维修记录，保证设施设备的正常使用。 </w:t>
      </w:r>
    </w:p>
    <w:p w14:paraId="5C43CFC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3.2.5 加强值班，坚守岗位，密切注视给排水各设施、设备系统运行情况；每日派专人巡查房屋、水电、土建等设施，及时对设施、设备系统的各种出现的故障进行维修，发现问题及时报告及时处理，保障水电设施正常运转；水电、下水道堵塞等故障问题 10 分钟内赶到现场及时处理，做到修缮工作无积压，一般事故的抢修做到不过夜。 </w:t>
      </w:r>
    </w:p>
    <w:p w14:paraId="7702C5BF">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3.2.6 严格执行相关技术标准和服务要求，规范服务和保障；定期对排水管道进行清通、养护，清除污垢；压力表损坏及时更换；阀门开关不灵活及管沟进水，应及时处理或更换；保持室内外排水系统通畅；消防栓、消防泵设备完好；设备出现故障时，维修人员应在 10 分钟内到达现场，零修合格率达到 100%，一般性故障排除不过夜（可选具体排除时长）。 </w:t>
      </w:r>
    </w:p>
    <w:p w14:paraId="713CE73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3.2.7 水电维修服务要求 24 小时值班，遇供水单位限水、停水，按规定时间通知采购人，做好值班报修电话记录，接到报修项目 10 分钟内赶到现场进行维修。 </w:t>
      </w:r>
    </w:p>
    <w:p w14:paraId="557CD273">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3.2.8 作好节约用水工作；对特定时段服务的设施设备，必须根据要求按时开关。 </w:t>
      </w:r>
    </w:p>
    <w:p w14:paraId="21F16BF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3.2.9 制定并执行设施设备操作规程及保养规范。 </w:t>
      </w:r>
    </w:p>
    <w:p w14:paraId="6A056061">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3.2.10 一年内无重大管理责任事故；根据现场情况，制定事故应急处理方案；制定停水、爆管等应急处理程序，计划停水应提前 12 小时通知采购人及受影响部门，并张贴预告。 </w:t>
      </w:r>
    </w:p>
    <w:p w14:paraId="4307C2A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3.2.11 生活饮用水卫生符合《生活饮用水卫生标准》（GB5749）的相关要求。 </w:t>
      </w:r>
    </w:p>
    <w:p w14:paraId="20A96A2D">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3.2.12 二次供水卫生符合《二次供水设施卫生规范》（GB17051）的相关要求。 </w:t>
      </w:r>
    </w:p>
    <w:p w14:paraId="5808ECC1">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3.2.13 设施设备、阀门、管道等运行正常，无跑、冒、滴、漏现象。 </w:t>
      </w:r>
    </w:p>
    <w:p w14:paraId="2719CC2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3.2.14 有水泵房、水箱间的，每日至少巡视 1 次。每年至少养护 1 次水泵。 </w:t>
      </w:r>
    </w:p>
    <w:p w14:paraId="0A4117B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4.电梯管理服务 </w:t>
      </w:r>
    </w:p>
    <w:p w14:paraId="773045B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4.1 服务内容 </w:t>
      </w:r>
    </w:p>
    <w:p w14:paraId="10A93D4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供应商负责对维保单位的维保工作实施监管。</w:t>
      </w:r>
    </w:p>
    <w:p w14:paraId="205307E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4.2 服务标准 </w:t>
      </w:r>
    </w:p>
    <w:p w14:paraId="048FDF6D">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4.2.1 按照电梯的图纸资料和技术性能建立电梯运行管理、设备管理、安全管理制度，健全电梯设备档案及修理记录，确保电梯在有效运行，电梯准确启动，运行平稳，安全设备齐全有效，停层准确，须按国家规范及标准，提供长期警示牌和临时警示牌，如果考虑不周、摆放不当造成安全事故的，由电梯维保单位负责（与投标人监督管理关系，电梯维保相关费用不包含在本次招标费用中）。 </w:t>
      </w:r>
    </w:p>
    <w:p w14:paraId="60EB964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4.2.2 电梯应经</w:t>
      </w:r>
      <w:r>
        <w:rPr>
          <w:rFonts w:ascii="宋体" w:hAnsi="宋体" w:cs="宋体"/>
          <w:sz w:val="24"/>
          <w:highlight w:val="none"/>
        </w:rPr>
        <w:t>有</w:t>
      </w:r>
      <w:r>
        <w:rPr>
          <w:rFonts w:hint="eastAsia" w:ascii="宋体" w:hAnsi="宋体" w:cs="宋体"/>
          <w:sz w:val="24"/>
          <w:highlight w:val="none"/>
        </w:rPr>
        <w:t xml:space="preserve">资质的检测机构检验合格，并由专业资质维修保养单位进行定期保养，每年进行安全检测并发放有效的《安全使用许可证》，在有效期内安全运行，电梯维保单位根据国家或行业的有关标准负责每年具体检测、试验等事宜。此项服务不包含在本项目中。 </w:t>
      </w:r>
    </w:p>
    <w:p w14:paraId="4E69980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4.2.3 对电梯保养进行监督。并对电梯运行进行管理，包括对机房设备、井道系统、轿厢设备进行日常运行管理和定期检查、维护、保养，保证所有电梯照明及内选外呼、层楼显示的巡视和修理，正常工作时间不得进行维护保养工作，如遇特殊情况应跟采购人进行沟通并得到书面允许以后方可进行。 </w:t>
      </w:r>
    </w:p>
    <w:p w14:paraId="6F06BB9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4.2.4 保持电梯轿厢内、外按钮及灯具等配件、并道、底坑、机房及各梯整流控制柜的清洁，随时保障客（货）梯的清洁卫生。 </w:t>
      </w:r>
    </w:p>
    <w:p w14:paraId="20215B6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4.2.5有电梯突发事件或事故的应急措施与救援预案，每年至少开展演练1次。电梯出现故障，物业服务人员 规定的时间内到场应急处理，维保专业人员 30 分钟内到场应急处理。 </w:t>
      </w:r>
    </w:p>
    <w:p w14:paraId="280A19A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4.2.6 密切监视和掌握电梯的运行动态，有电梯故障应急预案。</w:t>
      </w:r>
    </w:p>
    <w:p w14:paraId="791AC9F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4.2.7 电梯准用证、年检合格证、维修保养合同完备，客（货）梯内求救警钟保持正常工作状态;安全标志明显、齐备。 </w:t>
      </w:r>
    </w:p>
    <w:p w14:paraId="6BDCB7F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4.2.8 电梯维保质量符合 TSG 08-2017 规范的要求。电梯运行管理和对机房设备、井道系统、轿厢设备进行日常运行管理，每日检查，每周维护、保养,其中《北京市市场监督管理局关于印发做好改进电梯维护保养模式和调整电梯检验检测试点工作实施方案的通知》京市监发（2020）144 号要求，现场维保间隔不超过 3 个月（可选 3 个月以内间隔）。 </w:t>
      </w:r>
    </w:p>
    <w:p w14:paraId="5D0488D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4.2.9 电梯运行平稳、无异响、平层、开关正常。每周至少开展 2 次电梯的安 全状况检查。 </w:t>
      </w:r>
    </w:p>
    <w:p w14:paraId="4A8424A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4.2.10 电梯准用证、年检合格证等证件齐全。相关证件、紧急救援电话和乘客注意事项置于轿厢醒目位置。 </w:t>
      </w:r>
    </w:p>
    <w:p w14:paraId="4941814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4.2.11 每年至少开展 1 次对电梯的全面检测，并出具检测报告，核发电梯使用标志。 </w:t>
      </w:r>
    </w:p>
    <w:p w14:paraId="07F535D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4.2.12 电梯维保应当符合《电梯维护保养规则》（TSG T5002）的有关要求。 </w:t>
      </w:r>
    </w:p>
    <w:p w14:paraId="1461A96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4.2.13 电梯使用应当符合《特种设备使用管理规则》（TSG 08）的有关要求。 </w:t>
      </w:r>
    </w:p>
    <w:p w14:paraId="33AAC5E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4.2.14 到场进行救助和排除故障。电梯紧急电话保持畅通。 </w:t>
      </w:r>
    </w:p>
    <w:p w14:paraId="55B5AE5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4.2.15 电梯维修、保养时在现场设置提示标识和防护围栏。 </w:t>
      </w:r>
    </w:p>
    <w:p w14:paraId="7FFAA08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4.2.16 根据采购人需求，合理设置电梯开启的数量、时间。 </w:t>
      </w:r>
    </w:p>
    <w:p w14:paraId="28DC560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5.供配电、照明系统管理服务 </w:t>
      </w:r>
    </w:p>
    <w:p w14:paraId="2ED4775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5.1 服务内容 </w:t>
      </w:r>
    </w:p>
    <w:p w14:paraId="64C3712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对办公楼（区）供电系统高、低压电器设备、电线电缆、电气照明装置等设备正常运行使用进行日常巡视检查。 </w:t>
      </w:r>
    </w:p>
    <w:p w14:paraId="0818E191">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5.2 服务标准 </w:t>
      </w:r>
    </w:p>
    <w:p w14:paraId="06355C23">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5.2.1 对供电范围内的电气设备定期巡视维护和重点检测，建立各项设备档案，做到安全、合理、节约用电。 </w:t>
      </w:r>
    </w:p>
    <w:p w14:paraId="281DE8D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5.2.2 建立、落实配送电运行制度、电气维修制度、配电室管理制度、监测系统值守、运行管理制度并做好运行记录及设施设备台帐等，记录设施设备的运行、检查、保养、维修记录，保证设施设备的正常使用。 </w:t>
      </w:r>
    </w:p>
    <w:p w14:paraId="3396440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5.2.3 建立运行值班监控制度，及时排除故障，零星维修合格率 100%， 加强值班，坚守岗位，密切注视高、低压供电设施、设备系统运行情况，及时排除故障，保证供电设施完好。供电运行和维修人员必须持证上岗。 </w:t>
      </w:r>
    </w:p>
    <w:p w14:paraId="571E2E2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5.2.4 加强日常维护检修，巡视和检查好避雷设施。设备出现故障时，维修人员应在 10 分钟内到达现场，一般性故障立即排除，设备零修合格率达到 100％， 一般性维修不过夜，应急措施得当有效。 </w:t>
      </w:r>
    </w:p>
    <w:p w14:paraId="43C699B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5.2.5 建立各项设备档案，配电室运行管理人员每月应配合供电部门对法定表计进行抄计工作，并作好记录备查。 </w:t>
      </w:r>
    </w:p>
    <w:p w14:paraId="734DCEC5">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5.2.6 建立、落实配送电运行制度、电气维修制度、配电室管理制度、实时监测系统值守、运行管理制度并做好运行记录及设施设备台帐等，记录设施设备的运行、检查、保养、维修记录，保证设施设备的正常使用。 </w:t>
      </w:r>
    </w:p>
    <w:p w14:paraId="2CD2017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5.2.7 配电室主、备供线路在无特殊情况时，需提前告知采购人，倒闸时间不应超过 10分钟（根据标准规范自行确定）；因工程维修保养等原因停电，应提前一周书面通知用电单位，经批准后方可实施，因突发事件停电，应在积极处理的同时报告相关部门，并在恢复供电 24 小时（可选时间）内向相关方做出解释、说明。 </w:t>
      </w:r>
    </w:p>
    <w:p w14:paraId="05B9305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5.2.8 做好重大活动、重要会议、夜景照明等的服务保障工作， 变配电设备在重大活动、重要会议、节假日前必须进行一次（可选频次）安全检查，检查结果报相关部门备案，保证重大活动、重要会议、夜景照明统正常运行，并按时关启。 </w:t>
      </w:r>
    </w:p>
    <w:p w14:paraId="2789A39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5.2.9 定期清扫检查变压器、配电装置、检查仪表、空开配电盘等是否正常，出现问题及时更换，配电室内应做到清洁卫生、整齐有序，经常检查各封堵部位，杜绝小动物进入配电室内。 </w:t>
      </w:r>
    </w:p>
    <w:p w14:paraId="2F18390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 5.2.10 大楼各出入口及楼道备有充电式紧急照明设备。购置后备部件，以防急用。建立节电措施，统筹规划，做到合理、节约用电。配合采购人办理相关保供电手续。 </w:t>
      </w:r>
    </w:p>
    <w:p w14:paraId="362A276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5.2.11 对供电范围内的电气设备定期巡视维护，加强高低压配电柜、配电箱、 控制柜及线路等重点部位监测。 </w:t>
      </w:r>
    </w:p>
    <w:p w14:paraId="781D9D6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5.2.12 公共使用的照明、指示灯具线路、开关、接地等保持完好，确保用电安全。 </w:t>
      </w:r>
    </w:p>
    <w:p w14:paraId="335D38EF">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5.2.13 发生非计划性停电的，应当在事件发生后及时通知采购人，快速恢复或启用应急电源，并做好应急事件上报及处理工作。 </w:t>
      </w:r>
    </w:p>
    <w:p w14:paraId="49B23D9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5.2.14 复杂故障涉及供电部门维修处置的及时与供电部门联系，并向采购人报告。 </w:t>
      </w:r>
    </w:p>
    <w:p w14:paraId="01210223">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5.2.15 安全防范系统维护保养符合《安全防范系统维护保养规范》（GA/T1081）的相关要求。  </w:t>
      </w:r>
    </w:p>
    <w:p w14:paraId="53FA6EF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5.2.16 更换的照明灯具应当选用节能环保产品，亮度与更换前保持一致。 </w:t>
      </w:r>
    </w:p>
    <w:p w14:paraId="54093725">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5.2.17 每周至少开展 1 次公共区域照明设备巡视。 </w:t>
      </w:r>
    </w:p>
    <w:p w14:paraId="079A210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落实《北京市党政机关、国有企事业单位办公建筑外观照明强化节能导则(试行)》(京发改〔2022〕88号)关于办公建筑外观照明强化节能相关要求。</w:t>
      </w:r>
    </w:p>
    <w:p w14:paraId="2E08271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6.消防系统</w:t>
      </w:r>
    </w:p>
    <w:p w14:paraId="583633D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供应商负责对维保单位的维保工作实施监管。</w:t>
      </w:r>
    </w:p>
    <w:p w14:paraId="028E2D2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6.1消防设施的维护管理符合《建筑消防设施的维护管理》（GB25201）的相关要求。</w:t>
      </w:r>
    </w:p>
    <w:p w14:paraId="6E9D5C0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6.2消防设备检测符合《建筑消防设施检测技术规程》（GA503 或 XF503）的相关要求。</w:t>
      </w:r>
    </w:p>
    <w:p w14:paraId="0184C24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6.3消防设施平面图、火警疏散示意图、防火分区图等按幢设置在楼层醒目位置。</w:t>
      </w:r>
    </w:p>
    <w:p w14:paraId="135ACBF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6.4消防系统各设施设备使用说明清晰，宜图文结合。</w:t>
      </w:r>
    </w:p>
    <w:p w14:paraId="630385D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6.5自动喷水灭火系统启动正常。</w:t>
      </w:r>
    </w:p>
    <w:p w14:paraId="4830926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6.6消火栓箱、防火门、灭火器、消防水泵、、应急照明、安全疏散等系统运行正常。</w:t>
      </w:r>
    </w:p>
    <w:p w14:paraId="724FE95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6.7消防监控系统运行良好，自动和手动报警设施启动正常。</w:t>
      </w:r>
    </w:p>
    <w:p w14:paraId="72ECD40F">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6.8正压送风、防排烟系统运行正常。</w:t>
      </w:r>
    </w:p>
    <w:p w14:paraId="2BCA7FE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7.供配电系统</w:t>
      </w:r>
    </w:p>
    <w:p w14:paraId="3ECDA12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7.1建立 24 小时运行值班监控制度。</w:t>
      </w:r>
    </w:p>
    <w:p w14:paraId="61372DD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7.2对供电范围内的电气设备定期巡视维护，加强高低压配电柜、配电箱、控制柜及线路等重点部位监测。</w:t>
      </w:r>
    </w:p>
    <w:p w14:paraId="7C56460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7.3公共使用的照明、指示灯具线路、开关、接地等保持完好，确保用电安全。</w:t>
      </w:r>
    </w:p>
    <w:p w14:paraId="76509C9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7.4发生非计划性停电的，应当在事件发生后及时通知采购人，快速恢复，并做好应急事件上报及处理工作。</w:t>
      </w:r>
    </w:p>
    <w:p w14:paraId="4A21B76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7.5复杂故障涉及供电部门维修处置的及时与供电部门联系，并向采购人报告。</w:t>
      </w:r>
    </w:p>
    <w:p w14:paraId="30BEDFE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（四）保洁服务 </w:t>
      </w:r>
    </w:p>
    <w:p w14:paraId="2DD23F0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sz w:val="24"/>
          <w:highlight w:val="none"/>
        </w:rPr>
      </w:pPr>
      <w:r>
        <w:rPr>
          <w:rFonts w:hint="eastAsia" w:ascii="宋体" w:hAnsi="宋体" w:cs="宋体"/>
          <w:b/>
          <w:bCs/>
          <w:sz w:val="24"/>
          <w:highlight w:val="none"/>
        </w:rPr>
        <w:t>1.服务内容</w:t>
      </w:r>
      <w:r>
        <w:rPr>
          <w:rFonts w:hint="eastAsia" w:ascii="宋体" w:hAnsi="宋体" w:cs="宋体"/>
          <w:sz w:val="24"/>
          <w:highlight w:val="none"/>
        </w:rPr>
        <w:t xml:space="preserve"> </w:t>
      </w:r>
    </w:p>
    <w:p w14:paraId="5C10459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大楼公共场地区域保洁、垃圾处理、卫生消毒，如大楼内楼梯、大厅、走廊、天台、电梯间、卫生间等所有公共部位，办公区域道路、停车场等所有公共场地及“门前三包”区域的日常清洁、保洁及保养；垃圾分类；等。 </w:t>
      </w:r>
    </w:p>
    <w:p w14:paraId="3904E95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2. 服务标准 </w:t>
      </w:r>
    </w:p>
    <w:p w14:paraId="1A17E2AF">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2.1 基本要求 </w:t>
      </w:r>
    </w:p>
    <w:p w14:paraId="7566996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建立保洁服务的工作制度及工作计划，并按照执行。做好保洁服务工作记录，记录填写规范、保存完好。作业时采取安全防护措施，防止对作业人员或他人造成伤害。相关耗材的环保、安全性等应当符合国家相关规定要求。进入保密区域时，有采购人相关人员全程在场。 </w:t>
      </w:r>
    </w:p>
    <w:p w14:paraId="38FC7F0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2.2 公共区域保洁 </w:t>
      </w:r>
    </w:p>
    <w:p w14:paraId="72EAEA45">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2.2.1 大厅、楼内公共通道 </w:t>
      </w:r>
    </w:p>
    <w:p w14:paraId="6D73BB5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（1）公共通道保持干净，无异味、无杂物、无积水，每日至少开展 1 次清洁作业。指示牌干净，无污渍，每日至少开展 1 次清洁作业。 </w:t>
      </w:r>
    </w:p>
    <w:p w14:paraId="21BEE113">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（2）地面：各大厅地面每日全面清洁，做到干净、光亮、无脚印、无水迹、无陈旧性垃圾；每半年用专用设备清洗、保养一次。 </w:t>
      </w:r>
    </w:p>
    <w:p w14:paraId="7F73CD9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（3）墙面及玻璃：每日清洁、擦抹，做到光亮、目视无污渍；玻璃门、玻璃幕墙循环保洁，保持无印迹、无粘附物。  </w:t>
      </w:r>
    </w:p>
    <w:p w14:paraId="4D4966B1">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（4）标识牌：每日清洁、擦抹一次，做到无尘、无粘附物；  </w:t>
      </w:r>
    </w:p>
    <w:p w14:paraId="4F3DE0A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2.2.2 电器、消防等设施设备 </w:t>
      </w:r>
    </w:p>
    <w:p w14:paraId="4F4CCA3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（1）配电箱、设备机房、消防栓及开关插座等保持表面干净，无尘无污迹，每月至少开展 1 次清洁作业。 </w:t>
      </w:r>
    </w:p>
    <w:p w14:paraId="49F9987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（2）消防栓（箱）、应急灯、灭火器、电源开关盒、提脚线、楼道梁肩等部 </w:t>
      </w:r>
    </w:p>
    <w:p w14:paraId="240F1E6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位每周清洁、擦抹，做到整洁、无灰尘、标识清晰。 </w:t>
      </w:r>
    </w:p>
    <w:p w14:paraId="466FE8B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2.2.3 楼层保洁 </w:t>
      </w:r>
    </w:p>
    <w:p w14:paraId="3D0FB79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（1）楼梯及楼梯间保持干净、无异味、无杂物、无积水，每日至少开展 1 次清洁作业。 </w:t>
      </w:r>
    </w:p>
    <w:p w14:paraId="705D4F5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（2）开水间保持干净、无异味、无杂物、无积水，每日至少开展清洁作业。 </w:t>
      </w:r>
    </w:p>
    <w:p w14:paraId="798E925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（3）作业工具间：保持干净，无异味、无杂物、无积水，每日至少开展 1 次 </w:t>
      </w:r>
    </w:p>
    <w:p w14:paraId="2948697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清洁作业。作业工具摆放整齐有序，表面干净无渍，每日消毒。 </w:t>
      </w:r>
    </w:p>
    <w:p w14:paraId="26392B6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（4）地面：每日彻底清洁地面卫生；其余时间循环保洁，做到干净、整洁、光亮、无陈旧性垃圾。 </w:t>
      </w:r>
    </w:p>
    <w:p w14:paraId="0874B1C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（5）天花顶：定期清洁除尘，保持无灰尘、无蜘蛛网。 </w:t>
      </w:r>
    </w:p>
    <w:p w14:paraId="26BC406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（6）办公室门及公共区域玻璃：每周清洁、擦抹一次，做到光亮、目视无污渍；窗台每日保洁，保持无灰尘、无污迹。门窗玻璃干净无尘，透光性好，每周至少开展 1 次清洁作业。 </w:t>
      </w:r>
    </w:p>
    <w:p w14:paraId="2BECB6E3">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2.2.4 公共卫生间</w:t>
      </w:r>
    </w:p>
    <w:p w14:paraId="64F4AB5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（1）保持干净，无异味，垃圾无溢出，每日至少开展 1 次清洁作业。及时补 </w:t>
      </w:r>
    </w:p>
    <w:p w14:paraId="362AFCE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充厕纸等必要用品。 </w:t>
      </w:r>
    </w:p>
    <w:p w14:paraId="0B7A4AA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（2）卫生间保洁时设置“工作进行中”提示牌人性化服务。 </w:t>
      </w:r>
    </w:p>
    <w:p w14:paraId="0E8F494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（3）大（小）便器：每日清洁二次，循环保洁，做到干净、整洁、光亮、无污渍、无异味； </w:t>
      </w:r>
    </w:p>
    <w:p w14:paraId="014992E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（4）洗手台盆及水龙头：用镜布每日清洁二次，循环保洁，做到干净、明亮、 无印迹物。 </w:t>
      </w:r>
    </w:p>
    <w:p w14:paraId="7C358235">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（5）台盆面板及镜子：用镜布每日清洁、循环保洁，保持台面整洁、卫生用品摆放整齐、无水迹，镜面光亮、印迹、无粘附物。 </w:t>
      </w:r>
    </w:p>
    <w:p w14:paraId="0C4D9C0F">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（6）地面：每日定时清洁，循环保洁，保持无水迹、无脚印、无卫生死角。 </w:t>
      </w:r>
    </w:p>
    <w:p w14:paraId="4DC9679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（7）墙面：每周清洁墙面一次，保持墙面光亮、无印迹。 </w:t>
      </w:r>
    </w:p>
    <w:p w14:paraId="3872225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2.2.5 电梯间 </w:t>
      </w:r>
    </w:p>
    <w:p w14:paraId="664A9BC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（1）电梯轿厢：保持干净，无污渍、无粘贴物、无异味，每日至少开展 1 次 </w:t>
      </w:r>
    </w:p>
    <w:p w14:paraId="629D4D0F">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清洁作业。灯具、操作指示板明亮。定期对轿厢内按键进行清洁和消毒。 </w:t>
      </w:r>
    </w:p>
    <w:p w14:paraId="2053BDF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（2）电梯轿厢地面：每日避开使用高峰期清洁地面，循环保洁，做到干净、无印迹、无陈旧性垃圾。 </w:t>
      </w:r>
    </w:p>
    <w:p w14:paraId="059B490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（3）电梯外门：随时保洁，做到光亮、整洁，无手印、无粘附物。 </w:t>
      </w:r>
    </w:p>
    <w:p w14:paraId="676F0B0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（4）电梯门轨道沟槽：每日用刷子、抹布去除沟槽中的杂物、泥沙保持干净。 </w:t>
      </w:r>
    </w:p>
    <w:p w14:paraId="45BE741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2.2.6 平台、屋顶、天沟保持干净，有杂物及时清扫，每月至少开展 1 次清洁 作业。 </w:t>
      </w:r>
    </w:p>
    <w:p w14:paraId="5B2628C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2.3 公共场地区域保洁 </w:t>
      </w:r>
    </w:p>
    <w:p w14:paraId="7F5D145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2.3.1 每日清扫道路地面、停车场等公共区域，做好前后院自行车、非机动电动车码放整齐，保持干净、无杂物、无积水。 </w:t>
      </w:r>
    </w:p>
    <w:p w14:paraId="1EE4D36D">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2.3.2 雪、冰冻等恶劣天气时及时清扫积水、积雪，并采取安全防护措施。 </w:t>
      </w:r>
    </w:p>
    <w:p w14:paraId="468EF225">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2.3.3 各种路标、宣传栏等保持干净，每月至少开展 1 次清洁作业。 </w:t>
      </w:r>
    </w:p>
    <w:p w14:paraId="32E2E8A3">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2.3.4 清洁室外照明设备，每月至少开展 1 次清洁作业。 </w:t>
      </w:r>
    </w:p>
    <w:p w14:paraId="055875A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2.3.5 绿地内无杂物、无改变用途和破坏、践踏、占用现象，每日至少开展 1 次巡查。 </w:t>
      </w:r>
    </w:p>
    <w:p w14:paraId="21CFE4D3">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2.3.6 室外设施、标志：每日清洁、擦抹一次，做到无灰尘、无污渍。 </w:t>
      </w:r>
    </w:p>
    <w:p w14:paraId="4C50483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2.3.7 下水道口：定期清理烟头、树叶等杂物，确保排水口通畅，防止堵塞。每月定期对污水排水沟渠进行消毒。 </w:t>
      </w:r>
    </w:p>
    <w:p w14:paraId="38C226D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2.4 垃圾分类</w:t>
      </w:r>
    </w:p>
    <w:p w14:paraId="3691B8A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2.4.1 在指定位置摆放分类垃圾桶，并在显著处张贴垃圾分类标识。分类垃圾 </w:t>
      </w:r>
    </w:p>
    <w:p w14:paraId="35C5036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桶和垃圾分类标识根据北京市的要求设置。 </w:t>
      </w:r>
    </w:p>
    <w:p w14:paraId="3C6CEFB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2.4.2 桶身表面干净无污渍，每日开展清洁作业。定期进行消毒灭菌处理，保持垃圾桶无异味、无粘附物、无污迹、无陈旧性垃圾。 </w:t>
      </w:r>
    </w:p>
    <w:p w14:paraId="6B1CCAB5">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2.4.3 垃圾中转房保持整洁，无明显异味。 </w:t>
      </w:r>
    </w:p>
    <w:p w14:paraId="07A7F4ED">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2.4.4 负责协助采购人完成化粪池清掏、消杀。 </w:t>
      </w:r>
    </w:p>
    <w:p w14:paraId="3A8430E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2.4.5 每个工作日内要对楼层产生的垃圾，进行清理分类，并运至垃圾集中堆 </w:t>
      </w:r>
    </w:p>
    <w:p w14:paraId="048ECE2F">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放点。每周对垃圾收集点进行彻底清洁、消毒。 </w:t>
      </w:r>
    </w:p>
    <w:p w14:paraId="4E0F33F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2.4.6 垃圾装袋，日产日清。 </w:t>
      </w:r>
    </w:p>
    <w:p w14:paraId="36469DA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2.4.7 建立垃圾清运台账，交由规范的渠道回收处理。 </w:t>
      </w:r>
    </w:p>
    <w:p w14:paraId="33001AE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2.4.8 做好垃圾分类管理的宣传工作，督促并引导全员参与垃圾分类投放。 </w:t>
      </w:r>
    </w:p>
    <w:p w14:paraId="1B14C988">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2.4.9 垃圾分类投放管理工作的执行标准，按北京市的要求执行。 </w:t>
      </w:r>
    </w:p>
    <w:p w14:paraId="7AF8DEF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2.4.10 禁止从楼上抛掷杂物、垃圾、烟蒂、泼洒污水，禁止在窗口、阳台晾晒拖把、抹布；禁止将废料、垃圾、饭渣、布条等投入厕所和下水道造成管道堵塞。 </w:t>
      </w:r>
    </w:p>
    <w:p w14:paraId="304E822F">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2.4.11 门前三包：对门前三包每日巡查、发现问题及时与相关单位进行沟通协调解决。  </w:t>
      </w:r>
    </w:p>
    <w:p w14:paraId="7ECC472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2.5 卫生消毒 </w:t>
      </w:r>
    </w:p>
    <w:p w14:paraId="376B06F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2.5.1 协助专业公司完成喷洒，投放灭鼠药、消毒剂、除虫剂等，做好杀虫灭鼠、卫生防疫工作。 </w:t>
      </w:r>
    </w:p>
    <w:p w14:paraId="489F8C5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2.5.2 发生公共卫生事件时，协助采购人邀请专业单位开展消毒、检测等工作。 </w:t>
      </w:r>
    </w:p>
    <w:p w14:paraId="62D95AA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3.具体清洁要求 </w:t>
      </w:r>
    </w:p>
    <w:p w14:paraId="5DF2DDF1">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3.1 瓷砖地面 </w:t>
      </w:r>
    </w:p>
    <w:p w14:paraId="0D421FFA">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3.1.1 日常清洁：推尘，保持地面干净无杂物。 </w:t>
      </w:r>
    </w:p>
    <w:p w14:paraId="701480E1">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3.1.2 深度清洁：使用洗洁精或肥皂水清理。 </w:t>
      </w:r>
    </w:p>
    <w:p w14:paraId="724D25DF">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（五）门卫值守服务标准</w:t>
      </w:r>
    </w:p>
    <w:p w14:paraId="68CF7181">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1.遇有重要活动，按照</w:t>
      </w:r>
      <w:r>
        <w:rPr>
          <w:rFonts w:hint="eastAsia" w:ascii="宋体" w:hAnsi="宋体" w:cs="宋体"/>
          <w:sz w:val="24"/>
          <w:highlight w:val="none"/>
          <w:lang w:val="en-US" w:eastAsia="zh-CN"/>
        </w:rPr>
        <w:t>采购人</w:t>
      </w:r>
      <w:r>
        <w:rPr>
          <w:rFonts w:hint="eastAsia" w:ascii="宋体" w:hAnsi="宋体" w:cs="宋体"/>
          <w:sz w:val="24"/>
          <w:highlight w:val="none"/>
        </w:rPr>
        <w:t>安排配合完成相关工作；</w:t>
      </w:r>
    </w:p>
    <w:p w14:paraId="13738B91">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2.了解楼区域内的环境状况和安全措施；熟悉和掌握单位内部机构的分布、位置、联系方式；基本熟悉和掌握甲方单位内部人员情况；</w:t>
      </w:r>
    </w:p>
    <w:p w14:paraId="1BFAF5E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b/>
          <w:bCs/>
          <w:sz w:val="24"/>
          <w:highlight w:val="none"/>
        </w:rPr>
      </w:pPr>
      <w:r>
        <w:rPr>
          <w:rFonts w:hint="eastAsia" w:ascii="宋体" w:hAnsi="宋体" w:cs="宋体"/>
          <w:sz w:val="24"/>
          <w:highlight w:val="none"/>
        </w:rPr>
        <w:t>3.遵守保密制度规定，定期进行保密教育。</w:t>
      </w:r>
    </w:p>
    <w:p w14:paraId="63F57B35">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（六）承接查验 </w:t>
      </w:r>
    </w:p>
    <w:p w14:paraId="1BC4904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承接物业前，采购人委托查验单位，与建设单位按照国家有关规定和物业服务合同的约定，共同对物业房屋部位、设施设备、隐蔽工程、室内装修、室外装修、变配电设备、电梯、物业项目的资料移交、钥匙、中修、大修等进行检查和验收的活动。 </w:t>
      </w:r>
    </w:p>
    <w:p w14:paraId="1FC939F4">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rPr>
        <w:t xml:space="preserve">三、验收标准与要求 </w:t>
      </w:r>
    </w:p>
    <w:p w14:paraId="12B66F46">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为了确保委托单位对物业服务的质量和满足工作的需求，对物业服务进行全面评估和验收，以确保进一步提高物业服务质量。 </w:t>
      </w:r>
    </w:p>
    <w:p w14:paraId="0B3FEF2B">
      <w:pPr>
        <w:keepNext w:val="0"/>
        <w:keepLines w:val="0"/>
        <w:pageBreakBefore w:val="0"/>
        <w:widowControl w:val="0"/>
        <w:numPr>
          <w:ilvl w:val="0"/>
          <w:numId w:val="2"/>
        </w:numPr>
        <w:kinsoku/>
        <w:wordWrap/>
        <w:overflowPunct/>
        <w:topLinePunct w:val="0"/>
        <w:autoSpaceDE w:val="0"/>
        <w:autoSpaceDN w:val="0"/>
        <w:bidi w:val="0"/>
        <w:adjustRightInd w:val="0"/>
        <w:snapToGrid/>
        <w:spacing w:before="24" w:line="520" w:lineRule="exact"/>
        <w:outlineLvl w:val="1"/>
        <w:rPr>
          <w:rFonts w:ascii="宋体" w:hAnsi="宋体" w:cs="宋体"/>
          <w:b/>
          <w:bCs/>
          <w:sz w:val="24"/>
          <w:highlight w:val="none"/>
        </w:rPr>
      </w:pPr>
      <w:r>
        <w:rPr>
          <w:rFonts w:hint="eastAsia" w:ascii="宋体" w:hAnsi="宋体" w:cs="宋体"/>
          <w:b/>
          <w:bCs/>
          <w:sz w:val="24"/>
          <w:highlight w:val="none"/>
        </w:rPr>
        <w:t xml:space="preserve">验收服务内容 </w:t>
      </w:r>
    </w:p>
    <w:p w14:paraId="1C1C692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1.1验收前准备 </w:t>
      </w:r>
    </w:p>
    <w:p w14:paraId="20590A3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1.2确定验收时间和地点； </w:t>
      </w:r>
    </w:p>
    <w:p w14:paraId="5ADB65E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1.3邀请相关部门的工作人员参与物业服务满意度调查表的填写。</w:t>
      </w:r>
    </w:p>
    <w:p w14:paraId="6E9AFC85">
      <w:pPr>
        <w:keepNext w:val="0"/>
        <w:keepLines w:val="0"/>
        <w:pageBreakBefore w:val="0"/>
        <w:widowControl w:val="0"/>
        <w:numPr>
          <w:ilvl w:val="0"/>
          <w:numId w:val="2"/>
        </w:numPr>
        <w:kinsoku/>
        <w:wordWrap/>
        <w:overflowPunct/>
        <w:topLinePunct w:val="0"/>
        <w:autoSpaceDE w:val="0"/>
        <w:autoSpaceDN w:val="0"/>
        <w:bidi w:val="0"/>
        <w:adjustRightInd w:val="0"/>
        <w:snapToGrid/>
        <w:spacing w:before="24" w:line="520" w:lineRule="exact"/>
        <w:outlineLvl w:val="1"/>
        <w:rPr>
          <w:rFonts w:ascii="宋体" w:hAnsi="宋体" w:cs="宋体"/>
          <w:b/>
          <w:bCs/>
          <w:sz w:val="24"/>
          <w:highlight w:val="none"/>
        </w:rPr>
      </w:pPr>
      <w:r>
        <w:rPr>
          <w:rFonts w:hint="eastAsia" w:ascii="宋体" w:hAnsi="宋体" w:cs="宋体"/>
          <w:b/>
          <w:bCs/>
          <w:sz w:val="24"/>
          <w:highlight w:val="none"/>
        </w:rPr>
        <w:t xml:space="preserve">验收内容和方式 </w:t>
      </w:r>
    </w:p>
    <w:p w14:paraId="33702E3D">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2.1实地检查：对促进中心大楼场所的各个区域进行实地检查，涵盖清洁度、设备运行状况、维修和维护服务等方面；</w:t>
      </w:r>
    </w:p>
    <w:p w14:paraId="23563EBC">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2.2面谈询问：与物业公司进行面谈，询问其服务质量、改进和投诉处理等情况。 </w:t>
      </w:r>
    </w:p>
    <w:p w14:paraId="79F7D9B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lang w:val="en-US" w:eastAsia="zh-CN"/>
        </w:rPr>
        <w:t>五</w:t>
      </w:r>
      <w:r>
        <w:rPr>
          <w:rFonts w:hint="eastAsia" w:ascii="宋体" w:hAnsi="宋体" w:cs="宋体"/>
          <w:b/>
          <w:bCs/>
          <w:sz w:val="24"/>
          <w:highlight w:val="none"/>
        </w:rPr>
        <w:t xml:space="preserve">、其他有关合同要求 </w:t>
      </w:r>
    </w:p>
    <w:p w14:paraId="51599FF5">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1.《北京市物业管理条例》第六十一条：一个物业管理区域应当选定一个物业服务企业提供物业服务。电梯、消防等具有专业技术要求的设施设备的维修和养护，应当由符合资质的专业机构或者人员实施。 </w:t>
      </w:r>
    </w:p>
    <w:p w14:paraId="0A57820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 xml:space="preserve">2.《北京市物业管理条例》第六十五条：物业服务人应当按照物业服务合同的约定提供物业服务，并且遵守下列规定：提供物业服务符合国家和本市规定的标准、规范；及时向业主、物业使用人告知安全、合理使用物业的注意事项；定期听取业主的意见和建议，接受业主监督，改进和完善服务；对违法建设、违规出租房屋、私拉电线、占用消防通道等行为进行劝阻、制止，劝阻、制止无效的，及时报告行政执法机关；发现有安全风险隐患的，及时设置警示标志，采取措施排除隐患或者向有关专业机构报告；对物业使用人违反临时管理规约、管理规约的行为进行劝阻、制止，并及时报告业主；不得泄露在物业服务活动中获取的业主信息；履行生活垃圾分类管理责任人责任，指导、监督业主和物业使用人进行生活垃圾分类；配合街道办事处、乡镇人民政府、行政执法机关和居民委员会、村民委员会做好物业管理相关工作。 </w:t>
      </w:r>
    </w:p>
    <w:p w14:paraId="2E93C94E">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ascii="宋体" w:hAnsi="宋体" w:cs="宋体"/>
          <w:b/>
          <w:bCs/>
          <w:sz w:val="24"/>
          <w:highlight w:val="none"/>
        </w:rPr>
      </w:pPr>
      <w:r>
        <w:rPr>
          <w:rFonts w:hint="eastAsia" w:ascii="宋体" w:hAnsi="宋体" w:cs="宋体"/>
          <w:b/>
          <w:bCs/>
          <w:sz w:val="24"/>
          <w:highlight w:val="none"/>
          <w:lang w:val="en-US" w:eastAsia="zh-CN"/>
        </w:rPr>
        <w:t>六</w:t>
      </w:r>
      <w:r>
        <w:rPr>
          <w:rFonts w:hint="eastAsia" w:ascii="宋体" w:hAnsi="宋体" w:cs="宋体"/>
          <w:b/>
          <w:bCs/>
          <w:sz w:val="24"/>
          <w:highlight w:val="none"/>
        </w:rPr>
        <w:t xml:space="preserve">、需要说明的其他事项 </w:t>
      </w:r>
    </w:p>
    <w:p w14:paraId="10225AF9">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（一）采购人仅向物业管理公司提供物业管理办公用房、库房及值班房。</w:t>
      </w:r>
    </w:p>
    <w:p w14:paraId="0BD3DCAD">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（二）采购人对物业管理公司按约定提供的各项物业服务内容及标准的将予以监督、检查，如服务不达标或未提供相应服务将予以处罚，具体以合同约定为准。</w:t>
      </w:r>
    </w:p>
    <w:p w14:paraId="6D473242">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（三）物业管理公司各岗位人员应保持相对稳定，如确需更换，应事先与采购人沟通，并保证工作顺利交接。</w:t>
      </w:r>
    </w:p>
    <w:p w14:paraId="15C5502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（四）物业管理公司要保证派驻项目经理负责日常总协调和人员管理工作；周六日及法定节假日物业管理公司均须安排值班，不得空岗。</w:t>
      </w:r>
    </w:p>
    <w:p w14:paraId="53DD632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（五）供应商24小时有人员受理咨询和投诉，24小时备勤，受理客户报修，水电等急迫性报修，10分钟内到达现场。</w:t>
      </w:r>
    </w:p>
    <w:p w14:paraId="60A452BD">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（六）供应商管理制度健全，管理档案资料齐全。</w:t>
      </w:r>
    </w:p>
    <w:p w14:paraId="64C2136B">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（七）供应商全体员工统一着装。</w:t>
      </w:r>
    </w:p>
    <w:p w14:paraId="4CE98027">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（八）供应商定期进行物业管理满意率调查，促进管理服务工作的改进和提高，物业服务满意率不低于95%。</w:t>
      </w:r>
    </w:p>
    <w:p w14:paraId="3423F340">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0" w:firstLineChars="200"/>
        <w:outlineLvl w:val="1"/>
        <w:rPr>
          <w:rFonts w:ascii="宋体" w:hAnsi="宋体" w:cs="宋体"/>
          <w:sz w:val="24"/>
          <w:highlight w:val="none"/>
        </w:rPr>
      </w:pPr>
      <w:r>
        <w:rPr>
          <w:rFonts w:hint="eastAsia" w:ascii="宋体" w:hAnsi="宋体" w:cs="宋体"/>
          <w:sz w:val="24"/>
          <w:highlight w:val="none"/>
        </w:rPr>
        <w:t>（九）供应商应定期向采购人总结汇报阶段性工作。</w:t>
      </w:r>
    </w:p>
    <w:p w14:paraId="4F8B9C13">
      <w:pPr>
        <w:keepNext w:val="0"/>
        <w:keepLines w:val="0"/>
        <w:pageBreakBefore w:val="0"/>
        <w:widowControl w:val="0"/>
        <w:kinsoku/>
        <w:wordWrap/>
        <w:overflowPunct/>
        <w:topLinePunct w:val="0"/>
        <w:autoSpaceDE w:val="0"/>
        <w:autoSpaceDN w:val="0"/>
        <w:bidi w:val="0"/>
        <w:adjustRightInd w:val="0"/>
        <w:snapToGrid/>
        <w:spacing w:before="24" w:line="520" w:lineRule="exact"/>
        <w:ind w:firstLine="482" w:firstLineChars="200"/>
        <w:outlineLvl w:val="1"/>
        <w:rPr>
          <w:rFonts w:hint="eastAsia" w:ascii="宋体" w:hAnsi="宋体" w:cs="宋体"/>
          <w:b/>
          <w:kern w:val="0"/>
          <w:sz w:val="24"/>
          <w:highlight w:val="none"/>
        </w:rPr>
      </w:pPr>
    </w:p>
    <w:p w14:paraId="2EAB6BDF">
      <w:pPr>
        <w:keepNext w:val="0"/>
        <w:keepLines w:val="0"/>
        <w:pageBreakBefore w:val="0"/>
        <w:widowControl w:val="0"/>
        <w:kinsoku/>
        <w:wordWrap/>
        <w:overflowPunct/>
        <w:topLinePunct w:val="0"/>
        <w:bidi w:val="0"/>
        <w:adjustRightInd w:val="0"/>
        <w:snapToGrid/>
        <w:spacing w:line="520" w:lineRule="exact"/>
        <w:ind w:firstLine="482" w:firstLineChars="200"/>
        <w:jc w:val="left"/>
        <w:textAlignment w:val="baseline"/>
        <w:rPr>
          <w:rFonts w:ascii="宋体" w:hAnsi="宋体" w:cs="宋体"/>
          <w:b/>
          <w:bCs/>
          <w:sz w:val="24"/>
          <w:highlight w:val="none"/>
        </w:rPr>
      </w:pPr>
      <w:r>
        <w:rPr>
          <w:rFonts w:hint="eastAsia" w:ascii="宋体" w:hAnsi="宋体" w:cs="宋体"/>
          <w:b/>
          <w:bCs/>
          <w:color w:val="000000"/>
          <w:kern w:val="0"/>
          <w:sz w:val="24"/>
          <w:highlight w:val="none"/>
          <w:lang w:val="en-US" w:eastAsia="zh-CN" w:bidi="ar"/>
        </w:rPr>
        <w:t>七</w:t>
      </w:r>
      <w:r>
        <w:rPr>
          <w:rFonts w:hint="eastAsia" w:ascii="宋体" w:hAnsi="宋体" w:cs="宋体"/>
          <w:b/>
          <w:bCs/>
          <w:color w:val="000000"/>
          <w:kern w:val="0"/>
          <w:sz w:val="24"/>
          <w:highlight w:val="none"/>
          <w:lang w:bidi="ar"/>
        </w:rPr>
        <w:t xml:space="preserve">、供应商履行合同所需的设备 </w:t>
      </w:r>
    </w:p>
    <w:p w14:paraId="5FD03205">
      <w:pPr>
        <w:keepNext w:val="0"/>
        <w:keepLines w:val="0"/>
        <w:pageBreakBefore w:val="0"/>
        <w:widowControl w:val="0"/>
        <w:kinsoku/>
        <w:wordWrap/>
        <w:overflowPunct/>
        <w:topLinePunct w:val="0"/>
        <w:bidi w:val="0"/>
        <w:adjustRightInd w:val="0"/>
        <w:snapToGrid/>
        <w:spacing w:line="520" w:lineRule="exact"/>
        <w:ind w:firstLine="480" w:firstLineChars="200"/>
        <w:jc w:val="left"/>
        <w:textAlignment w:val="baseline"/>
        <w:rPr>
          <w:rFonts w:ascii="宋体" w:hAnsi="宋体" w:cs="宋体"/>
          <w:sz w:val="24"/>
          <w:highlight w:val="none"/>
        </w:rPr>
      </w:pPr>
      <w:r>
        <w:rPr>
          <w:rFonts w:hint="eastAsia" w:ascii="宋体" w:hAnsi="宋体" w:cs="宋体"/>
          <w:color w:val="000000"/>
          <w:kern w:val="0"/>
          <w:sz w:val="24"/>
          <w:highlight w:val="none"/>
          <w:lang w:bidi="ar"/>
        </w:rPr>
        <w:t>根据项目实际需求，由供应商自主提供作业设备（自有或租赁）用于物业管理服务。</w:t>
      </w:r>
    </w:p>
    <w:p w14:paraId="6C987A8D">
      <w:pPr>
        <w:keepNext w:val="0"/>
        <w:keepLines w:val="0"/>
        <w:pageBreakBefore w:val="0"/>
        <w:widowControl w:val="0"/>
        <w:kinsoku/>
        <w:wordWrap/>
        <w:overflowPunct/>
        <w:topLinePunct w:val="0"/>
        <w:bidi w:val="0"/>
        <w:adjustRightInd w:val="0"/>
        <w:snapToGrid/>
        <w:spacing w:line="520" w:lineRule="exact"/>
        <w:ind w:firstLine="480" w:firstLineChars="200"/>
        <w:jc w:val="left"/>
        <w:textAlignment w:val="baseline"/>
        <w:rPr>
          <w:rFonts w:ascii="宋体" w:hAnsi="宋体" w:cs="宋体"/>
          <w:sz w:val="24"/>
          <w:highlight w:val="none"/>
        </w:rPr>
      </w:pPr>
      <w:r>
        <w:rPr>
          <w:rFonts w:hint="eastAsia" w:ascii="宋体" w:hAnsi="宋体" w:cs="宋体"/>
          <w:color w:val="000000"/>
          <w:kern w:val="0"/>
          <w:sz w:val="24"/>
          <w:highlight w:val="none"/>
          <w:lang w:bidi="ar"/>
        </w:rPr>
        <w:t xml:space="preserve">注：采购人已无偿提供的作业设备，不在此重复要求。 </w:t>
      </w:r>
    </w:p>
    <w:p w14:paraId="3B71B55E">
      <w:pPr>
        <w:keepNext w:val="0"/>
        <w:keepLines w:val="0"/>
        <w:pageBreakBefore w:val="0"/>
        <w:widowControl w:val="0"/>
        <w:kinsoku/>
        <w:wordWrap/>
        <w:overflowPunct/>
        <w:topLinePunct w:val="0"/>
        <w:bidi w:val="0"/>
        <w:adjustRightInd w:val="0"/>
        <w:snapToGrid/>
        <w:spacing w:line="520" w:lineRule="exact"/>
        <w:ind w:firstLine="482" w:firstLineChars="200"/>
        <w:jc w:val="left"/>
        <w:textAlignment w:val="baseline"/>
        <w:rPr>
          <w:rFonts w:ascii="宋体" w:hAnsi="宋体" w:cs="宋体"/>
          <w:b/>
          <w:bCs/>
          <w:sz w:val="24"/>
          <w:highlight w:val="none"/>
        </w:rPr>
      </w:pPr>
      <w:r>
        <w:rPr>
          <w:rFonts w:hint="eastAsia" w:ascii="宋体" w:hAnsi="宋体" w:cs="宋体"/>
          <w:b/>
          <w:bCs/>
          <w:color w:val="000000"/>
          <w:kern w:val="0"/>
          <w:sz w:val="24"/>
          <w:highlight w:val="none"/>
          <w:lang w:val="en-US" w:eastAsia="zh-CN" w:bidi="ar"/>
        </w:rPr>
        <w:t>八</w:t>
      </w:r>
      <w:r>
        <w:rPr>
          <w:rFonts w:hint="eastAsia" w:ascii="宋体" w:hAnsi="宋体" w:cs="宋体"/>
          <w:b/>
          <w:bCs/>
          <w:color w:val="000000"/>
          <w:kern w:val="0"/>
          <w:sz w:val="24"/>
          <w:highlight w:val="none"/>
          <w:lang w:bidi="ar"/>
        </w:rPr>
        <w:t xml:space="preserve">、物业管理服务人员需求 </w:t>
      </w:r>
    </w:p>
    <w:p w14:paraId="02A04EA0">
      <w:pPr>
        <w:keepNext w:val="0"/>
        <w:keepLines w:val="0"/>
        <w:pageBreakBefore w:val="0"/>
        <w:widowControl w:val="0"/>
        <w:kinsoku/>
        <w:wordWrap/>
        <w:overflowPunct/>
        <w:topLinePunct w:val="0"/>
        <w:bidi w:val="0"/>
        <w:adjustRightInd w:val="0"/>
        <w:snapToGrid/>
        <w:spacing w:line="520" w:lineRule="exact"/>
        <w:ind w:firstLine="482" w:firstLineChars="200"/>
        <w:jc w:val="left"/>
        <w:textAlignment w:val="baseline"/>
        <w:rPr>
          <w:rFonts w:ascii="宋体" w:hAnsi="宋体" w:cs="宋体"/>
          <w:b/>
          <w:bCs/>
          <w:sz w:val="24"/>
          <w:highlight w:val="none"/>
        </w:rPr>
      </w:pPr>
      <w:r>
        <w:rPr>
          <w:rFonts w:hint="eastAsia" w:ascii="宋体" w:hAnsi="宋体" w:cs="宋体"/>
          <w:b/>
          <w:bCs/>
          <w:color w:val="000000"/>
          <w:kern w:val="0"/>
          <w:sz w:val="24"/>
          <w:highlight w:val="none"/>
          <w:lang w:bidi="ar"/>
        </w:rPr>
        <w:t xml:space="preserve">（一）进驻人员要求 </w:t>
      </w:r>
    </w:p>
    <w:p w14:paraId="4610E780">
      <w:pPr>
        <w:keepNext w:val="0"/>
        <w:keepLines w:val="0"/>
        <w:pageBreakBefore w:val="0"/>
        <w:widowControl w:val="0"/>
        <w:kinsoku/>
        <w:wordWrap/>
        <w:overflowPunct/>
        <w:topLinePunct w:val="0"/>
        <w:bidi w:val="0"/>
        <w:snapToGrid/>
        <w:spacing w:line="520" w:lineRule="exact"/>
        <w:ind w:firstLine="360" w:firstLineChars="150"/>
        <w:rPr>
          <w:rFonts w:ascii="宋体" w:hAnsi="宋体" w:cs="宋体"/>
          <w:bCs/>
          <w:iCs/>
          <w:sz w:val="24"/>
          <w:highlight w:val="none"/>
        </w:rPr>
      </w:pPr>
      <w:r>
        <w:rPr>
          <w:rFonts w:hint="eastAsia" w:ascii="宋体" w:hAnsi="宋体" w:cs="宋体"/>
          <w:color w:val="000000"/>
          <w:kern w:val="0"/>
          <w:sz w:val="24"/>
          <w:highlight w:val="none"/>
          <w:lang w:bidi="ar"/>
        </w:rPr>
        <w:t xml:space="preserve">1. </w:t>
      </w:r>
      <w:r>
        <w:rPr>
          <w:rFonts w:hint="eastAsia" w:ascii="宋体" w:hAnsi="宋体" w:cs="宋体"/>
          <w:bCs/>
          <w:iCs/>
          <w:sz w:val="24"/>
          <w:highlight w:val="none"/>
        </w:rPr>
        <w:t>管理人员：项目经理1名、</w:t>
      </w:r>
    </w:p>
    <w:p w14:paraId="7192C821">
      <w:pPr>
        <w:keepNext w:val="0"/>
        <w:keepLines w:val="0"/>
        <w:pageBreakBefore w:val="0"/>
        <w:widowControl w:val="0"/>
        <w:kinsoku/>
        <w:wordWrap/>
        <w:overflowPunct/>
        <w:topLinePunct w:val="0"/>
        <w:bidi w:val="0"/>
        <w:snapToGrid/>
        <w:spacing w:line="520" w:lineRule="exact"/>
        <w:ind w:firstLine="360" w:firstLineChars="150"/>
        <w:rPr>
          <w:rFonts w:ascii="宋体" w:hAnsi="宋体" w:cs="宋体"/>
          <w:sz w:val="24"/>
          <w:highlight w:val="none"/>
        </w:rPr>
      </w:pPr>
      <w:r>
        <w:rPr>
          <w:rFonts w:hint="eastAsia" w:ascii="宋体" w:hAnsi="宋体" w:cs="宋体"/>
          <w:bCs/>
          <w:iCs/>
          <w:sz w:val="24"/>
          <w:highlight w:val="none"/>
        </w:rPr>
        <w:t>2.服务人员：消防中控24小时双人值班，配电室24小时双人值班，安保2名，保洁</w:t>
      </w:r>
      <w:r>
        <w:rPr>
          <w:rFonts w:hint="eastAsia" w:ascii="宋体" w:hAnsi="宋体" w:cs="宋体"/>
          <w:bCs/>
          <w:iCs/>
          <w:sz w:val="24"/>
          <w:highlight w:val="none"/>
          <w:lang w:val="en-US" w:eastAsia="zh-CN"/>
        </w:rPr>
        <w:t>2</w:t>
      </w:r>
      <w:r>
        <w:rPr>
          <w:rFonts w:hint="eastAsia" w:ascii="宋体" w:hAnsi="宋体" w:cs="宋体"/>
          <w:bCs/>
          <w:iCs/>
          <w:sz w:val="24"/>
          <w:highlight w:val="none"/>
        </w:rPr>
        <w:t>名</w:t>
      </w:r>
      <w:r>
        <w:rPr>
          <w:rFonts w:hint="eastAsia" w:ascii="宋体" w:hAnsi="宋体" w:cs="宋体"/>
          <w:bCs/>
          <w:sz w:val="24"/>
          <w:highlight w:val="none"/>
        </w:rPr>
        <w:t>，维修人员1名。</w:t>
      </w:r>
    </w:p>
    <w:p w14:paraId="3D8ABE90">
      <w:pPr>
        <w:keepNext w:val="0"/>
        <w:keepLines w:val="0"/>
        <w:pageBreakBefore w:val="0"/>
        <w:widowControl w:val="0"/>
        <w:kinsoku/>
        <w:wordWrap/>
        <w:overflowPunct/>
        <w:topLinePunct w:val="0"/>
        <w:bidi w:val="0"/>
        <w:adjustRightInd w:val="0"/>
        <w:snapToGrid/>
        <w:spacing w:line="520" w:lineRule="exact"/>
        <w:ind w:firstLine="482" w:firstLineChars="200"/>
        <w:jc w:val="left"/>
        <w:textAlignment w:val="baseline"/>
        <w:rPr>
          <w:rFonts w:ascii="宋体" w:hAnsi="宋体" w:cs="宋体"/>
          <w:b/>
          <w:bCs/>
          <w:sz w:val="24"/>
          <w:highlight w:val="none"/>
        </w:rPr>
      </w:pPr>
      <w:r>
        <w:rPr>
          <w:rFonts w:hint="eastAsia" w:ascii="宋体" w:hAnsi="宋体" w:cs="宋体"/>
          <w:b/>
          <w:bCs/>
          <w:color w:val="000000"/>
          <w:kern w:val="0"/>
          <w:sz w:val="24"/>
          <w:highlight w:val="none"/>
          <w:lang w:bidi="ar"/>
        </w:rPr>
        <w:t xml:space="preserve">（二）人员稳定性和其他情况 </w:t>
      </w:r>
    </w:p>
    <w:p w14:paraId="55F1C54A">
      <w:pPr>
        <w:keepNext w:val="0"/>
        <w:keepLines w:val="0"/>
        <w:pageBreakBefore w:val="0"/>
        <w:widowControl w:val="0"/>
        <w:kinsoku/>
        <w:wordWrap/>
        <w:overflowPunct/>
        <w:topLinePunct w:val="0"/>
        <w:bidi w:val="0"/>
        <w:adjustRightInd w:val="0"/>
        <w:snapToGrid/>
        <w:spacing w:line="520" w:lineRule="exact"/>
        <w:ind w:firstLine="480" w:firstLineChars="200"/>
        <w:jc w:val="left"/>
        <w:textAlignment w:val="baseline"/>
        <w:rPr>
          <w:rFonts w:ascii="宋体" w:hAnsi="宋体" w:cs="宋体"/>
          <w:sz w:val="24"/>
          <w:highlight w:val="none"/>
        </w:rPr>
      </w:pPr>
      <w:r>
        <w:rPr>
          <w:rFonts w:hint="eastAsia" w:ascii="宋体" w:hAnsi="宋体" w:cs="宋体"/>
          <w:color w:val="000000"/>
          <w:kern w:val="0"/>
          <w:sz w:val="24"/>
          <w:highlight w:val="none"/>
          <w:lang w:bidi="ar"/>
        </w:rPr>
        <w:t xml:space="preserve">1.人员招收、招聘来源情况及人员稳定性保障措施。 </w:t>
      </w:r>
    </w:p>
    <w:p w14:paraId="2860659D">
      <w:pPr>
        <w:keepNext w:val="0"/>
        <w:keepLines w:val="0"/>
        <w:pageBreakBefore w:val="0"/>
        <w:widowControl w:val="0"/>
        <w:kinsoku/>
        <w:wordWrap/>
        <w:overflowPunct/>
        <w:topLinePunct w:val="0"/>
        <w:bidi w:val="0"/>
        <w:snapToGrid/>
        <w:spacing w:line="520" w:lineRule="exact"/>
        <w:ind w:firstLine="480" w:firstLineChars="200"/>
        <w:jc w:val="left"/>
        <w:rPr>
          <w:sz w:val="24"/>
          <w:szCs w:val="22"/>
          <w:highlight w:val="none"/>
        </w:rPr>
      </w:pPr>
      <w:r>
        <w:rPr>
          <w:rFonts w:hint="eastAsia" w:ascii="宋体" w:hAnsi="宋体" w:cs="宋体"/>
          <w:color w:val="000000"/>
          <w:kern w:val="0"/>
          <w:sz w:val="24"/>
          <w:highlight w:val="none"/>
          <w:lang w:bidi="ar"/>
        </w:rPr>
        <w:t>2..北京市民族团结促进中心大楼地处北京市北二环雍和宫桥，隶属民族宗教单位，针对安全工作尤其着重检查，采购方应派一级注册消防工程师，定期来协助消防安全责任人管理工作。</w:t>
      </w:r>
    </w:p>
    <w:p w14:paraId="24A69070">
      <w:pPr>
        <w:keepNext w:val="0"/>
        <w:keepLines w:val="0"/>
        <w:pageBreakBefore w:val="0"/>
        <w:widowControl w:val="0"/>
        <w:kinsoku/>
        <w:wordWrap/>
        <w:overflowPunct/>
        <w:topLinePunct w:val="0"/>
        <w:bidi w:val="0"/>
        <w:adjustRightInd w:val="0"/>
        <w:snapToGrid/>
        <w:spacing w:line="520" w:lineRule="exact"/>
        <w:ind w:firstLine="482" w:firstLineChars="200"/>
        <w:jc w:val="left"/>
        <w:textAlignment w:val="baseline"/>
        <w:rPr>
          <w:rFonts w:ascii="宋体" w:hAnsi="宋体" w:cs="宋体"/>
          <w:b/>
          <w:bCs/>
          <w:sz w:val="24"/>
          <w:highlight w:val="none"/>
        </w:rPr>
      </w:pPr>
      <w:r>
        <w:rPr>
          <w:rFonts w:hint="eastAsia" w:ascii="宋体" w:hAnsi="宋体" w:cs="宋体"/>
          <w:b/>
          <w:bCs/>
          <w:color w:val="000000"/>
          <w:kern w:val="0"/>
          <w:sz w:val="24"/>
          <w:highlight w:val="none"/>
          <w:lang w:bidi="ar"/>
        </w:rPr>
        <w:t xml:space="preserve">（三）人员配备情况 </w:t>
      </w:r>
    </w:p>
    <w:p w14:paraId="6BADF616">
      <w:pPr>
        <w:keepNext w:val="0"/>
        <w:keepLines w:val="0"/>
        <w:pageBreakBefore w:val="0"/>
        <w:widowControl w:val="0"/>
        <w:tabs>
          <w:tab w:val="left" w:pos="567"/>
        </w:tabs>
        <w:kinsoku/>
        <w:wordWrap/>
        <w:overflowPunct/>
        <w:topLinePunct w:val="0"/>
        <w:bidi w:val="0"/>
        <w:snapToGrid/>
        <w:spacing w:line="520" w:lineRule="exact"/>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rPr>
        <w:t>1.人员数量：≥</w:t>
      </w:r>
      <w:r>
        <w:rPr>
          <w:rFonts w:hint="eastAsia" w:ascii="宋体" w:hAnsi="宋体" w:cs="宋体"/>
          <w:sz w:val="24"/>
          <w:highlight w:val="none"/>
          <w:lang w:val="en-US" w:eastAsia="zh-CN"/>
        </w:rPr>
        <w:t>18</w:t>
      </w:r>
    </w:p>
    <w:tbl>
      <w:tblPr>
        <w:tblStyle w:val="6"/>
        <w:tblW w:w="8714" w:type="dxa"/>
        <w:jc w:val="center"/>
        <w:tblLayout w:type="fixed"/>
        <w:tblCellMar>
          <w:top w:w="0" w:type="dxa"/>
          <w:left w:w="108" w:type="dxa"/>
          <w:bottom w:w="0" w:type="dxa"/>
          <w:right w:w="108" w:type="dxa"/>
        </w:tblCellMar>
      </w:tblPr>
      <w:tblGrid>
        <w:gridCol w:w="2169"/>
        <w:gridCol w:w="2660"/>
        <w:gridCol w:w="3885"/>
      </w:tblGrid>
      <w:tr w14:paraId="72CB09A0">
        <w:tblPrEx>
          <w:tblCellMar>
            <w:top w:w="0" w:type="dxa"/>
            <w:left w:w="108" w:type="dxa"/>
            <w:bottom w:w="0" w:type="dxa"/>
            <w:right w:w="108" w:type="dxa"/>
          </w:tblCellMar>
        </w:tblPrEx>
        <w:trPr>
          <w:trHeight w:val="1421" w:hRule="atLeast"/>
          <w:jc w:val="center"/>
        </w:trPr>
        <w:tc>
          <w:tcPr>
            <w:tcW w:w="2169" w:type="dxa"/>
            <w:tcBorders>
              <w:top w:val="single" w:color="000000" w:sz="4" w:space="0"/>
              <w:left w:val="single" w:color="000000" w:sz="4" w:space="0"/>
              <w:bottom w:val="single" w:color="000000" w:sz="4" w:space="0"/>
              <w:right w:val="single" w:color="000000" w:sz="4" w:space="0"/>
            </w:tcBorders>
            <w:noWrap w:val="0"/>
            <w:vAlign w:val="center"/>
          </w:tcPr>
          <w:p w14:paraId="431F9F5D">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岗位</w:t>
            </w:r>
          </w:p>
        </w:tc>
        <w:tc>
          <w:tcPr>
            <w:tcW w:w="2660" w:type="dxa"/>
            <w:tcBorders>
              <w:top w:val="single" w:color="000000" w:sz="4" w:space="0"/>
              <w:left w:val="single" w:color="000000" w:sz="4" w:space="0"/>
              <w:bottom w:val="single" w:color="000000" w:sz="4" w:space="0"/>
              <w:right w:val="single" w:color="000000" w:sz="4" w:space="0"/>
            </w:tcBorders>
            <w:noWrap w:val="0"/>
            <w:vAlign w:val="center"/>
          </w:tcPr>
          <w:p w14:paraId="14AECA29">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岗位人力配置数量</w:t>
            </w:r>
          </w:p>
          <w:p w14:paraId="0799EAAD">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(根据服务时长及岗位编制要求，配置的人数)</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5B9AB956">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备注</w:t>
            </w:r>
          </w:p>
          <w:p w14:paraId="7185970C">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(岗位所需服务时长或时段、需具备的上岗资格证等）</w:t>
            </w:r>
          </w:p>
        </w:tc>
      </w:tr>
      <w:tr w14:paraId="1898A08A">
        <w:tblPrEx>
          <w:tblCellMar>
            <w:top w:w="0" w:type="dxa"/>
            <w:left w:w="108" w:type="dxa"/>
            <w:bottom w:w="0" w:type="dxa"/>
            <w:right w:w="108" w:type="dxa"/>
          </w:tblCellMar>
        </w:tblPrEx>
        <w:trPr>
          <w:trHeight w:val="725" w:hRule="atLeast"/>
          <w:jc w:val="center"/>
        </w:trPr>
        <w:tc>
          <w:tcPr>
            <w:tcW w:w="2169" w:type="dxa"/>
            <w:tcBorders>
              <w:top w:val="single" w:color="000000" w:sz="4" w:space="0"/>
              <w:left w:val="single" w:color="000000" w:sz="4" w:space="0"/>
              <w:bottom w:val="single" w:color="000000" w:sz="4" w:space="0"/>
              <w:right w:val="single" w:color="000000" w:sz="4" w:space="0"/>
            </w:tcBorders>
            <w:noWrap w:val="0"/>
            <w:vAlign w:val="center"/>
          </w:tcPr>
          <w:p w14:paraId="33DB73F6">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项目经理</w:t>
            </w:r>
          </w:p>
        </w:tc>
        <w:tc>
          <w:tcPr>
            <w:tcW w:w="2660" w:type="dxa"/>
            <w:tcBorders>
              <w:top w:val="single" w:color="000000" w:sz="4" w:space="0"/>
              <w:left w:val="single" w:color="000000" w:sz="4" w:space="0"/>
              <w:bottom w:val="single" w:color="000000" w:sz="4" w:space="0"/>
              <w:right w:val="single" w:color="000000" w:sz="4" w:space="0"/>
            </w:tcBorders>
            <w:noWrap w:val="0"/>
            <w:vAlign w:val="center"/>
          </w:tcPr>
          <w:p w14:paraId="0F3BAE62">
            <w:pPr>
              <w:keepNext w:val="0"/>
              <w:keepLines w:val="0"/>
              <w:pageBreakBefore w:val="0"/>
              <w:widowControl w:val="0"/>
              <w:kinsoku/>
              <w:wordWrap/>
              <w:overflowPunct/>
              <w:topLinePunct w:val="0"/>
              <w:bidi w:val="0"/>
              <w:snapToGrid/>
              <w:spacing w:line="520" w:lineRule="exact"/>
              <w:jc w:val="center"/>
              <w:rPr>
                <w:rFonts w:ascii="宋体" w:hAnsi="宋体" w:cs="宋体"/>
                <w:b/>
                <w:bCs/>
                <w:sz w:val="24"/>
                <w:highlight w:val="none"/>
              </w:rPr>
            </w:pPr>
            <w:r>
              <w:rPr>
                <w:rFonts w:hint="eastAsia" w:ascii="宋体" w:hAnsi="宋体" w:cs="宋体"/>
                <w:b/>
                <w:bCs/>
                <w:sz w:val="24"/>
                <w:highlight w:val="none"/>
              </w:rPr>
              <w:t xml:space="preserve">1人 </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138D9B2A">
            <w:pPr>
              <w:pStyle w:val="5"/>
              <w:jc w:val="left"/>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1</w:t>
            </w:r>
            <w:r>
              <w:rPr>
                <w:rFonts w:hint="eastAsia" w:ascii="宋体" w:hAnsi="宋体" w:cs="宋体"/>
                <w:b w:val="0"/>
                <w:bCs w:val="0"/>
                <w:sz w:val="24"/>
                <w:szCs w:val="24"/>
                <w:highlight w:val="none"/>
                <w:lang w:eastAsia="zh-CN"/>
              </w:rPr>
              <w:t>）</w:t>
            </w:r>
            <w:r>
              <w:rPr>
                <w:rFonts w:hint="eastAsia" w:cs="宋体"/>
                <w:sz w:val="24"/>
                <w:szCs w:val="24"/>
                <w:highlight w:val="none"/>
                <w:lang w:val="en-US" w:eastAsia="zh-CN"/>
              </w:rPr>
              <w:t>持有初</w:t>
            </w:r>
            <w:r>
              <w:rPr>
                <w:rFonts w:hint="eastAsia"/>
                <w:sz w:val="24"/>
                <w:szCs w:val="24"/>
                <w:highlight w:val="none"/>
                <w:lang w:val="en-US" w:eastAsia="zh-CN"/>
              </w:rPr>
              <w:t>级</w:t>
            </w:r>
            <w:r>
              <w:rPr>
                <w:rFonts w:hint="eastAsia"/>
                <w:sz w:val="24"/>
                <w:szCs w:val="24"/>
                <w:highlight w:val="none"/>
              </w:rPr>
              <w:t>消防设施操作员证</w:t>
            </w:r>
            <w:r>
              <w:rPr>
                <w:rFonts w:hint="eastAsia"/>
                <w:sz w:val="24"/>
                <w:highlight w:val="none"/>
                <w:lang w:val="en-US" w:eastAsia="zh-CN"/>
              </w:rPr>
              <w:t>或五级建（构）筑物消防员</w:t>
            </w:r>
          </w:p>
          <w:p w14:paraId="2912A732">
            <w:pPr>
              <w:pStyle w:val="5"/>
              <w:widowControl/>
              <w:numPr>
                <w:ilvl w:val="0"/>
                <w:numId w:val="0"/>
              </w:numPr>
              <w:spacing w:line="520" w:lineRule="exact"/>
              <w:jc w:val="left"/>
              <w:rPr>
                <w:rFonts w:hint="eastAsia" w:ascii="宋体" w:hAnsi="宋体" w:cs="宋体"/>
                <w:b w:val="0"/>
                <w:bCs w:val="0"/>
                <w:color w:val="000000" w:themeColor="text1"/>
                <w:sz w:val="24"/>
                <w:szCs w:val="24"/>
                <w:highlight w:val="none"/>
                <w:lang w:eastAsia="zh-CN"/>
                <w14:textFill>
                  <w14:solidFill>
                    <w14:schemeClr w14:val="tx1"/>
                  </w14:solidFill>
                </w14:textFill>
              </w:rPr>
            </w:pPr>
            <w:r>
              <w:rPr>
                <w:rFonts w:hint="eastAsia" w:ascii="宋体" w:hAnsi="宋体" w:cs="宋体"/>
                <w:b w:val="0"/>
                <w:bCs w:val="0"/>
                <w:color w:val="000000" w:themeColor="text1"/>
                <w:sz w:val="24"/>
                <w:szCs w:val="24"/>
                <w:highlight w:val="none"/>
                <w:lang w:eastAsia="zh-CN"/>
                <w14:textFill>
                  <w14:solidFill>
                    <w14:schemeClr w14:val="tx1"/>
                  </w14:solidFill>
                </w14:textFill>
              </w:rPr>
              <w:t>（</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2</w:t>
            </w:r>
            <w:r>
              <w:rPr>
                <w:rFonts w:hint="eastAsia" w:ascii="宋体" w:hAnsi="宋体" w:cs="宋体"/>
                <w:b w:val="0"/>
                <w:bCs w:val="0"/>
                <w:color w:val="000000" w:themeColor="text1"/>
                <w:sz w:val="24"/>
                <w:szCs w:val="24"/>
                <w:highlight w:val="none"/>
                <w:lang w:eastAsia="zh-CN"/>
                <w14:textFill>
                  <w14:solidFill>
                    <w14:schemeClr w14:val="tx1"/>
                  </w14:solidFill>
                </w14:textFill>
              </w:rPr>
              <w:t>）</w:t>
            </w:r>
            <w:r>
              <w:rPr>
                <w:rFonts w:hint="eastAsia" w:ascii="宋体" w:hAnsi="宋体" w:cs="宋体"/>
                <w:b w:val="0"/>
                <w:bCs w:val="0"/>
                <w:color w:val="000000" w:themeColor="text1"/>
                <w:sz w:val="24"/>
                <w:szCs w:val="24"/>
                <w:highlight w:val="none"/>
                <w14:textFill>
                  <w14:solidFill>
                    <w14:schemeClr w14:val="tx1"/>
                  </w14:solidFill>
                </w14:textFill>
              </w:rPr>
              <w:t>持电梯安全管理员</w:t>
            </w:r>
          </w:p>
          <w:p w14:paraId="673C059D">
            <w:pPr>
              <w:pStyle w:val="5"/>
              <w:jc w:val="left"/>
              <w:rPr>
                <w:rFonts w:hint="eastAsia"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（3）持高压电工运行操作证</w:t>
            </w:r>
          </w:p>
          <w:p w14:paraId="11464877">
            <w:pPr>
              <w:pStyle w:val="5"/>
              <w:keepNext w:val="0"/>
              <w:keepLines w:val="0"/>
              <w:pageBreakBefore w:val="0"/>
              <w:widowControl w:val="0"/>
              <w:kinsoku/>
              <w:wordWrap/>
              <w:overflowPunct/>
              <w:topLinePunct w:val="0"/>
              <w:bidi w:val="0"/>
              <w:snapToGrid/>
              <w:spacing w:line="520" w:lineRule="exact"/>
              <w:jc w:val="left"/>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（4）持制冷与空调作业证</w:t>
            </w:r>
            <w:r>
              <w:rPr>
                <w:rFonts w:hint="eastAsia"/>
                <w:b w:val="0"/>
                <w:bCs w:val="0"/>
                <w:sz w:val="24"/>
                <w:szCs w:val="24"/>
                <w:highlight w:val="none"/>
                <w:lang w:val="en-US" w:eastAsia="zh-CN"/>
              </w:rPr>
              <w:t>或涉氨制冷作业</w:t>
            </w:r>
            <w:r>
              <w:rPr>
                <w:rFonts w:hint="eastAsia" w:ascii="宋体" w:hAnsi="宋体" w:cs="宋体"/>
                <w:b w:val="0"/>
                <w:bCs w:val="0"/>
                <w:sz w:val="24"/>
                <w:highlight w:val="none"/>
                <w:lang w:val="en-US" w:eastAsia="zh-CN"/>
              </w:rPr>
              <w:t>证</w:t>
            </w:r>
          </w:p>
          <w:p w14:paraId="5142C721">
            <w:pPr>
              <w:pStyle w:val="5"/>
              <w:keepNext w:val="0"/>
              <w:keepLines w:val="0"/>
              <w:pageBreakBefore w:val="0"/>
              <w:widowControl w:val="0"/>
              <w:kinsoku/>
              <w:wordWrap/>
              <w:overflowPunct/>
              <w:topLinePunct w:val="0"/>
              <w:bidi w:val="0"/>
              <w:snapToGrid/>
              <w:spacing w:line="520" w:lineRule="exact"/>
              <w:jc w:val="left"/>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5</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具有本科及以上学历</w:t>
            </w:r>
          </w:p>
          <w:p w14:paraId="26F1D173">
            <w:pPr>
              <w:pStyle w:val="5"/>
              <w:keepNext w:val="0"/>
              <w:keepLines w:val="0"/>
              <w:pageBreakBefore w:val="0"/>
              <w:widowControl w:val="0"/>
              <w:kinsoku/>
              <w:wordWrap/>
              <w:overflowPunct/>
              <w:topLinePunct w:val="0"/>
              <w:bidi w:val="0"/>
              <w:snapToGrid/>
              <w:spacing w:line="520" w:lineRule="exact"/>
              <w:jc w:val="left"/>
              <w:rPr>
                <w:rFonts w:hint="eastAsia" w:ascii="宋体" w:hAnsi="宋体" w:cs="宋体"/>
                <w:b w:val="0"/>
                <w:bCs w:val="0"/>
                <w:sz w:val="24"/>
                <w:highlight w:val="none"/>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6</w:t>
            </w:r>
            <w:r>
              <w:rPr>
                <w:rFonts w:hint="eastAsia" w:ascii="宋体" w:hAnsi="宋体" w:cs="宋体"/>
                <w:b w:val="0"/>
                <w:bCs w:val="0"/>
                <w:sz w:val="24"/>
                <w:szCs w:val="24"/>
                <w:highlight w:val="none"/>
                <w:lang w:eastAsia="zh-CN"/>
              </w:rPr>
              <w:t>）</w:t>
            </w:r>
            <w:r>
              <w:rPr>
                <w:rFonts w:hint="eastAsia" w:ascii="宋体" w:hAnsi="宋体" w:eastAsia="宋体" w:cs="宋体"/>
                <w:b w:val="0"/>
                <w:bCs w:val="0"/>
                <w:sz w:val="24"/>
                <w:szCs w:val="24"/>
                <w:highlight w:val="none"/>
              </w:rPr>
              <w:t>拥有不少于 5 年物业管理相关工作履历，熟悉物业全流程管理业务，实操经验充足</w:t>
            </w:r>
          </w:p>
          <w:p w14:paraId="7E3EC2E0">
            <w:pPr>
              <w:pStyle w:val="5"/>
              <w:keepNext w:val="0"/>
              <w:keepLines w:val="0"/>
              <w:pageBreakBefore w:val="0"/>
              <w:widowControl w:val="0"/>
              <w:kinsoku/>
              <w:wordWrap/>
              <w:overflowPunct/>
              <w:topLinePunct w:val="0"/>
              <w:bidi w:val="0"/>
              <w:snapToGrid/>
              <w:spacing w:line="520" w:lineRule="exact"/>
              <w:jc w:val="left"/>
              <w:rPr>
                <w:rFonts w:hint="eastAsia" w:ascii="宋体" w:hAnsi="宋体" w:cs="宋体"/>
                <w:b w:val="0"/>
                <w:bCs w:val="0"/>
                <w:sz w:val="24"/>
                <w:highlight w:val="none"/>
              </w:rPr>
            </w:pPr>
            <w:r>
              <w:rPr>
                <w:rFonts w:hint="eastAsia" w:ascii="宋体" w:hAnsi="宋体" w:cs="宋体"/>
                <w:b w:val="0"/>
                <w:bCs w:val="0"/>
                <w:sz w:val="24"/>
                <w:highlight w:val="none"/>
                <w:lang w:eastAsia="zh-CN"/>
              </w:rPr>
              <w:t>（</w:t>
            </w:r>
            <w:r>
              <w:rPr>
                <w:rFonts w:hint="eastAsia" w:ascii="宋体" w:hAnsi="宋体" w:cs="宋体"/>
                <w:b w:val="0"/>
                <w:bCs w:val="0"/>
                <w:sz w:val="24"/>
                <w:highlight w:val="none"/>
                <w:lang w:val="en-US" w:eastAsia="zh-CN"/>
              </w:rPr>
              <w:t>7）</w:t>
            </w:r>
            <w:r>
              <w:rPr>
                <w:rFonts w:hint="eastAsia" w:ascii="宋体" w:hAnsi="宋体" w:eastAsia="宋体" w:cs="宋体"/>
                <w:b w:val="0"/>
                <w:bCs w:val="0"/>
                <w:sz w:val="24"/>
                <w:szCs w:val="24"/>
                <w:highlight w:val="none"/>
              </w:rPr>
              <w:t>项目经理年龄须在 45 周岁（含）以下</w:t>
            </w:r>
          </w:p>
        </w:tc>
      </w:tr>
      <w:tr w14:paraId="64CA086F">
        <w:tblPrEx>
          <w:tblCellMar>
            <w:top w:w="0" w:type="dxa"/>
            <w:left w:w="108" w:type="dxa"/>
            <w:bottom w:w="0" w:type="dxa"/>
            <w:right w:w="108" w:type="dxa"/>
          </w:tblCellMar>
        </w:tblPrEx>
        <w:trPr>
          <w:trHeight w:val="1028" w:hRule="atLeast"/>
          <w:jc w:val="center"/>
        </w:trPr>
        <w:tc>
          <w:tcPr>
            <w:tcW w:w="2169" w:type="dxa"/>
            <w:tcBorders>
              <w:top w:val="single" w:color="auto" w:sz="4" w:space="0"/>
              <w:left w:val="single" w:color="000000" w:sz="4" w:space="0"/>
              <w:bottom w:val="single" w:color="000000" w:sz="4" w:space="0"/>
              <w:right w:val="single" w:color="000000" w:sz="4" w:space="0"/>
            </w:tcBorders>
            <w:noWrap w:val="0"/>
            <w:vAlign w:val="center"/>
          </w:tcPr>
          <w:p w14:paraId="7FD2F1B1">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保洁员</w:t>
            </w:r>
          </w:p>
        </w:tc>
        <w:tc>
          <w:tcPr>
            <w:tcW w:w="2660" w:type="dxa"/>
            <w:tcBorders>
              <w:top w:val="single" w:color="auto" w:sz="4" w:space="0"/>
              <w:left w:val="single" w:color="000000" w:sz="4" w:space="0"/>
              <w:bottom w:val="single" w:color="000000" w:sz="4" w:space="0"/>
              <w:right w:val="single" w:color="000000" w:sz="4" w:space="0"/>
            </w:tcBorders>
            <w:noWrap w:val="0"/>
            <w:vAlign w:val="center"/>
          </w:tcPr>
          <w:p w14:paraId="34D665E5">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人</w:t>
            </w:r>
          </w:p>
        </w:tc>
        <w:tc>
          <w:tcPr>
            <w:tcW w:w="3885" w:type="dxa"/>
            <w:tcBorders>
              <w:top w:val="single" w:color="auto" w:sz="4" w:space="0"/>
              <w:left w:val="single" w:color="000000" w:sz="4" w:space="0"/>
              <w:bottom w:val="single" w:color="000000" w:sz="4" w:space="0"/>
              <w:right w:val="single" w:color="000000" w:sz="4" w:space="0"/>
            </w:tcBorders>
            <w:noWrap w:val="0"/>
            <w:vAlign w:val="center"/>
          </w:tcPr>
          <w:p w14:paraId="59ACBB4E">
            <w:pPr>
              <w:keepNext w:val="0"/>
              <w:keepLines w:val="0"/>
              <w:pageBreakBefore w:val="0"/>
              <w:widowControl w:val="0"/>
              <w:kinsoku/>
              <w:wordWrap/>
              <w:overflowPunct/>
              <w:topLinePunct w:val="0"/>
              <w:bidi w:val="0"/>
              <w:snapToGrid/>
              <w:spacing w:line="520" w:lineRule="exact"/>
              <w:rPr>
                <w:rFonts w:ascii="宋体" w:hAnsi="宋体" w:cs="宋体"/>
                <w:b/>
                <w:bCs/>
                <w:sz w:val="24"/>
                <w:highlight w:val="none"/>
              </w:rPr>
            </w:pPr>
            <w:r>
              <w:rPr>
                <w:rFonts w:hint="eastAsia" w:ascii="宋体" w:hAnsi="宋体" w:cs="宋体"/>
                <w:sz w:val="24"/>
                <w:highlight w:val="none"/>
              </w:rPr>
              <w:t>年龄不超过</w:t>
            </w:r>
            <w:r>
              <w:rPr>
                <w:rFonts w:hint="eastAsia" w:ascii="宋体" w:hAnsi="宋体" w:cs="宋体"/>
                <w:sz w:val="24"/>
                <w:highlight w:val="none"/>
                <w:lang w:val="en-US" w:eastAsia="zh-CN"/>
              </w:rPr>
              <w:t>60</w:t>
            </w:r>
            <w:r>
              <w:rPr>
                <w:rFonts w:hint="eastAsia" w:ascii="宋体" w:hAnsi="宋体" w:cs="宋体"/>
                <w:sz w:val="24"/>
                <w:highlight w:val="none"/>
              </w:rPr>
              <w:t>岁；持有北京市从业人员健康证明。</w:t>
            </w:r>
          </w:p>
        </w:tc>
      </w:tr>
      <w:tr w14:paraId="7B138F7C">
        <w:tblPrEx>
          <w:tblCellMar>
            <w:top w:w="0" w:type="dxa"/>
            <w:left w:w="108" w:type="dxa"/>
            <w:bottom w:w="0" w:type="dxa"/>
            <w:right w:w="108" w:type="dxa"/>
          </w:tblCellMar>
        </w:tblPrEx>
        <w:trPr>
          <w:trHeight w:val="1040" w:hRule="atLeast"/>
          <w:jc w:val="center"/>
        </w:trPr>
        <w:tc>
          <w:tcPr>
            <w:tcW w:w="2169" w:type="dxa"/>
            <w:tcBorders>
              <w:top w:val="single" w:color="auto" w:sz="4" w:space="0"/>
              <w:left w:val="single" w:color="000000" w:sz="4" w:space="0"/>
              <w:bottom w:val="single" w:color="auto" w:sz="4" w:space="0"/>
              <w:right w:val="single" w:color="000000" w:sz="4" w:space="0"/>
            </w:tcBorders>
            <w:noWrap w:val="0"/>
            <w:vAlign w:val="center"/>
          </w:tcPr>
          <w:p w14:paraId="25E79EE4">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配电室</w:t>
            </w:r>
          </w:p>
        </w:tc>
        <w:tc>
          <w:tcPr>
            <w:tcW w:w="2660" w:type="dxa"/>
            <w:tcBorders>
              <w:top w:val="single" w:color="auto" w:sz="4" w:space="0"/>
              <w:left w:val="single" w:color="000000" w:sz="4" w:space="0"/>
              <w:bottom w:val="single" w:color="auto" w:sz="4" w:space="0"/>
              <w:right w:val="single" w:color="000000" w:sz="4" w:space="0"/>
            </w:tcBorders>
            <w:noWrap w:val="0"/>
            <w:vAlign w:val="center"/>
          </w:tcPr>
          <w:p w14:paraId="439CE8DF">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双人值班</w:t>
            </w:r>
          </w:p>
        </w:tc>
        <w:tc>
          <w:tcPr>
            <w:tcW w:w="3885" w:type="dxa"/>
            <w:tcBorders>
              <w:top w:val="single" w:color="auto" w:sz="4" w:space="0"/>
              <w:left w:val="single" w:color="000000" w:sz="4" w:space="0"/>
              <w:bottom w:val="single" w:color="auto" w:sz="4" w:space="0"/>
              <w:right w:val="single" w:color="000000" w:sz="4" w:space="0"/>
            </w:tcBorders>
            <w:noWrap w:val="0"/>
            <w:vAlign w:val="center"/>
          </w:tcPr>
          <w:p w14:paraId="653D24B6">
            <w:pPr>
              <w:keepNext w:val="0"/>
              <w:keepLines w:val="0"/>
              <w:pageBreakBefore w:val="0"/>
              <w:widowControl w:val="0"/>
              <w:kinsoku/>
              <w:wordWrap/>
              <w:overflowPunct/>
              <w:topLinePunct w:val="0"/>
              <w:bidi w:val="0"/>
              <w:snapToGrid/>
              <w:spacing w:line="520" w:lineRule="exact"/>
              <w:rPr>
                <w:rFonts w:ascii="宋体" w:hAnsi="宋体" w:cs="宋体"/>
                <w:sz w:val="24"/>
                <w:highlight w:val="none"/>
              </w:rPr>
            </w:pPr>
            <w:r>
              <w:rPr>
                <w:rFonts w:hint="eastAsia" w:ascii="宋体" w:hAnsi="宋体" w:cs="宋体"/>
                <w:kern w:val="0"/>
                <w:sz w:val="24"/>
                <w:highlight w:val="none"/>
              </w:rPr>
              <w:t>持有高压电工作业证。</w:t>
            </w:r>
          </w:p>
        </w:tc>
      </w:tr>
      <w:tr w14:paraId="2A67FC33">
        <w:tblPrEx>
          <w:tblCellMar>
            <w:top w:w="0" w:type="dxa"/>
            <w:left w:w="108" w:type="dxa"/>
            <w:bottom w:w="0" w:type="dxa"/>
            <w:right w:w="108" w:type="dxa"/>
          </w:tblCellMar>
        </w:tblPrEx>
        <w:trPr>
          <w:trHeight w:val="1040" w:hRule="atLeast"/>
          <w:jc w:val="center"/>
        </w:trPr>
        <w:tc>
          <w:tcPr>
            <w:tcW w:w="2169" w:type="dxa"/>
            <w:tcBorders>
              <w:top w:val="single" w:color="auto" w:sz="4" w:space="0"/>
              <w:left w:val="single" w:color="000000" w:sz="4" w:space="0"/>
              <w:bottom w:val="single" w:color="auto" w:sz="4" w:space="0"/>
              <w:right w:val="single" w:color="000000" w:sz="4" w:space="0"/>
            </w:tcBorders>
            <w:noWrap w:val="0"/>
            <w:vAlign w:val="center"/>
          </w:tcPr>
          <w:p w14:paraId="109E7F91">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综合维修</w:t>
            </w:r>
          </w:p>
        </w:tc>
        <w:tc>
          <w:tcPr>
            <w:tcW w:w="2660" w:type="dxa"/>
            <w:tcBorders>
              <w:top w:val="single" w:color="auto" w:sz="4" w:space="0"/>
              <w:left w:val="single" w:color="000000" w:sz="4" w:space="0"/>
              <w:bottom w:val="single" w:color="auto" w:sz="4" w:space="0"/>
              <w:right w:val="single" w:color="000000" w:sz="4" w:space="0"/>
            </w:tcBorders>
            <w:noWrap w:val="0"/>
            <w:vAlign w:val="center"/>
          </w:tcPr>
          <w:p w14:paraId="682998B0">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1</w:t>
            </w:r>
          </w:p>
        </w:tc>
        <w:tc>
          <w:tcPr>
            <w:tcW w:w="3885" w:type="dxa"/>
            <w:tcBorders>
              <w:top w:val="single" w:color="auto" w:sz="4" w:space="0"/>
              <w:left w:val="single" w:color="000000" w:sz="4" w:space="0"/>
              <w:bottom w:val="single" w:color="auto" w:sz="4" w:space="0"/>
              <w:right w:val="single" w:color="000000" w:sz="4" w:space="0"/>
            </w:tcBorders>
            <w:noWrap w:val="0"/>
            <w:vAlign w:val="center"/>
          </w:tcPr>
          <w:p w14:paraId="41BD3B69">
            <w:pPr>
              <w:keepNext w:val="0"/>
              <w:keepLines w:val="0"/>
              <w:pageBreakBefore w:val="0"/>
              <w:widowControl w:val="0"/>
              <w:kinsoku/>
              <w:wordWrap/>
              <w:overflowPunct/>
              <w:topLinePunct w:val="0"/>
              <w:bidi w:val="0"/>
              <w:snapToGrid/>
              <w:spacing w:line="520" w:lineRule="exact"/>
              <w:rPr>
                <w:rFonts w:ascii="宋体" w:hAnsi="宋体" w:cs="宋体"/>
                <w:sz w:val="24"/>
                <w:highlight w:val="none"/>
              </w:rPr>
            </w:pPr>
            <w:r>
              <w:rPr>
                <w:rFonts w:hint="eastAsia" w:ascii="宋体" w:hAnsi="宋体" w:cs="宋体"/>
                <w:sz w:val="24"/>
                <w:highlight w:val="none"/>
              </w:rPr>
              <w:t>且具有3年及以上综合维修相关工作经验，具有空调设备运行操作作业证及高压电工证。</w:t>
            </w:r>
          </w:p>
        </w:tc>
      </w:tr>
      <w:tr w14:paraId="6A6C4AD6">
        <w:tblPrEx>
          <w:tblCellMar>
            <w:top w:w="0" w:type="dxa"/>
            <w:left w:w="108" w:type="dxa"/>
            <w:bottom w:w="0" w:type="dxa"/>
            <w:right w:w="108" w:type="dxa"/>
          </w:tblCellMar>
        </w:tblPrEx>
        <w:trPr>
          <w:trHeight w:val="1060" w:hRule="atLeast"/>
          <w:jc w:val="center"/>
        </w:trPr>
        <w:tc>
          <w:tcPr>
            <w:tcW w:w="2169" w:type="dxa"/>
            <w:tcBorders>
              <w:top w:val="single" w:color="000000" w:sz="4" w:space="0"/>
              <w:left w:val="single" w:color="000000" w:sz="4" w:space="0"/>
              <w:bottom w:val="single" w:color="000000" w:sz="4" w:space="0"/>
              <w:right w:val="single" w:color="000000" w:sz="4" w:space="0"/>
            </w:tcBorders>
            <w:noWrap w:val="0"/>
            <w:vAlign w:val="center"/>
          </w:tcPr>
          <w:p w14:paraId="6D7A43A9">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消防中控室</w:t>
            </w:r>
          </w:p>
        </w:tc>
        <w:tc>
          <w:tcPr>
            <w:tcW w:w="2660" w:type="dxa"/>
            <w:tcBorders>
              <w:top w:val="single" w:color="000000" w:sz="4" w:space="0"/>
              <w:left w:val="single" w:color="000000" w:sz="4" w:space="0"/>
              <w:bottom w:val="single" w:color="000000" w:sz="4" w:space="0"/>
              <w:right w:val="single" w:color="000000" w:sz="4" w:space="0"/>
            </w:tcBorders>
            <w:noWrap w:val="0"/>
            <w:vAlign w:val="center"/>
          </w:tcPr>
          <w:p w14:paraId="6AF1A35C">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双人值班</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69704301">
            <w:pPr>
              <w:keepNext w:val="0"/>
              <w:keepLines w:val="0"/>
              <w:pageBreakBefore w:val="0"/>
              <w:widowControl w:val="0"/>
              <w:kinsoku/>
              <w:wordWrap/>
              <w:overflowPunct/>
              <w:topLinePunct w:val="0"/>
              <w:bidi w:val="0"/>
              <w:snapToGrid/>
              <w:spacing w:line="520" w:lineRule="exact"/>
              <w:rPr>
                <w:rFonts w:hint="default" w:ascii="宋体" w:hAnsi="宋体" w:eastAsia="宋体" w:cs="宋体"/>
                <w:color w:val="000000"/>
                <w:sz w:val="24"/>
                <w:highlight w:val="none"/>
                <w:lang w:val="en-US" w:eastAsia="zh-CN"/>
              </w:rPr>
            </w:pPr>
            <w:r>
              <w:rPr>
                <w:rFonts w:hint="eastAsia" w:ascii="宋体" w:hAnsi="宋体" w:cs="宋体"/>
                <w:color w:val="auto"/>
                <w:sz w:val="24"/>
                <w:highlight w:val="none"/>
              </w:rPr>
              <w:t>持有</w:t>
            </w:r>
            <w:r>
              <w:rPr>
                <w:rFonts w:hint="eastAsia" w:ascii="宋体" w:hAnsi="宋体" w:cs="宋体"/>
                <w:color w:val="auto"/>
                <w:sz w:val="24"/>
                <w:highlight w:val="none"/>
                <w:lang w:eastAsia="zh-CN"/>
              </w:rPr>
              <w:t>中级</w:t>
            </w:r>
            <w:r>
              <w:rPr>
                <w:rFonts w:hint="eastAsia" w:ascii="宋体" w:hAnsi="宋体" w:cs="宋体"/>
                <w:color w:val="auto"/>
                <w:sz w:val="24"/>
                <w:highlight w:val="none"/>
              </w:rPr>
              <w:t>消防设施操作证</w:t>
            </w:r>
            <w:r>
              <w:rPr>
                <w:rFonts w:hint="eastAsia" w:ascii="宋体" w:hAnsi="宋体" w:cs="宋体"/>
                <w:color w:val="auto"/>
                <w:sz w:val="24"/>
                <w:highlight w:val="none"/>
                <w:lang w:val="en-US" w:eastAsia="zh-CN"/>
              </w:rPr>
              <w:t>或四级建（构）筑物消防员证</w:t>
            </w:r>
          </w:p>
        </w:tc>
      </w:tr>
      <w:tr w14:paraId="47D7DE51">
        <w:tblPrEx>
          <w:tblCellMar>
            <w:top w:w="0" w:type="dxa"/>
            <w:left w:w="108" w:type="dxa"/>
            <w:bottom w:w="0" w:type="dxa"/>
            <w:right w:w="108" w:type="dxa"/>
          </w:tblCellMar>
        </w:tblPrEx>
        <w:trPr>
          <w:trHeight w:val="1040" w:hRule="atLeast"/>
          <w:jc w:val="center"/>
        </w:trPr>
        <w:tc>
          <w:tcPr>
            <w:tcW w:w="2169" w:type="dxa"/>
            <w:tcBorders>
              <w:top w:val="single" w:color="000000" w:sz="4" w:space="0"/>
              <w:left w:val="single" w:color="000000" w:sz="4" w:space="0"/>
              <w:bottom w:val="single" w:color="000000" w:sz="4" w:space="0"/>
              <w:right w:val="single" w:color="000000" w:sz="4" w:space="0"/>
            </w:tcBorders>
            <w:noWrap w:val="0"/>
            <w:vAlign w:val="center"/>
          </w:tcPr>
          <w:p w14:paraId="5627212F">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安保</w:t>
            </w:r>
          </w:p>
        </w:tc>
        <w:tc>
          <w:tcPr>
            <w:tcW w:w="2660" w:type="dxa"/>
            <w:tcBorders>
              <w:top w:val="single" w:color="000000" w:sz="4" w:space="0"/>
              <w:left w:val="single" w:color="000000" w:sz="4" w:space="0"/>
              <w:bottom w:val="single" w:color="000000" w:sz="4" w:space="0"/>
              <w:right w:val="single" w:color="000000" w:sz="4" w:space="0"/>
            </w:tcBorders>
            <w:noWrap w:val="0"/>
            <w:vAlign w:val="center"/>
          </w:tcPr>
          <w:p w14:paraId="279AB9C7">
            <w:pPr>
              <w:keepNext w:val="0"/>
              <w:keepLines w:val="0"/>
              <w:pageBreakBefore w:val="0"/>
              <w:widowControl w:val="0"/>
              <w:kinsoku/>
              <w:wordWrap/>
              <w:overflowPunct/>
              <w:topLinePunct w:val="0"/>
              <w:bidi w:val="0"/>
              <w:snapToGrid/>
              <w:spacing w:line="520" w:lineRule="exact"/>
              <w:jc w:val="center"/>
              <w:rPr>
                <w:rFonts w:ascii="宋体" w:hAnsi="宋体" w:cs="宋体"/>
                <w:sz w:val="24"/>
                <w:highlight w:val="none"/>
              </w:rPr>
            </w:pPr>
            <w:r>
              <w:rPr>
                <w:rFonts w:hint="eastAsia" w:ascii="宋体" w:hAnsi="宋体" w:cs="宋体"/>
                <w:sz w:val="24"/>
                <w:highlight w:val="none"/>
              </w:rPr>
              <w:t>2人</w:t>
            </w:r>
          </w:p>
        </w:tc>
        <w:tc>
          <w:tcPr>
            <w:tcW w:w="3885" w:type="dxa"/>
            <w:tcBorders>
              <w:top w:val="single" w:color="000000" w:sz="4" w:space="0"/>
              <w:left w:val="single" w:color="000000" w:sz="4" w:space="0"/>
              <w:bottom w:val="single" w:color="000000" w:sz="4" w:space="0"/>
              <w:right w:val="single" w:color="000000" w:sz="4" w:space="0"/>
            </w:tcBorders>
            <w:noWrap w:val="0"/>
            <w:vAlign w:val="center"/>
          </w:tcPr>
          <w:p w14:paraId="4BAB6329">
            <w:pPr>
              <w:keepNext w:val="0"/>
              <w:keepLines w:val="0"/>
              <w:pageBreakBefore w:val="0"/>
              <w:widowControl w:val="0"/>
              <w:kinsoku/>
              <w:wordWrap/>
              <w:overflowPunct/>
              <w:topLinePunct w:val="0"/>
              <w:bidi w:val="0"/>
              <w:snapToGrid/>
              <w:spacing w:line="520" w:lineRule="exact"/>
              <w:rPr>
                <w:rFonts w:ascii="宋体" w:hAnsi="宋体" w:cs="宋体"/>
                <w:sz w:val="24"/>
                <w:highlight w:val="none"/>
              </w:rPr>
            </w:pPr>
            <w:r>
              <w:rPr>
                <w:rFonts w:hint="eastAsia" w:ascii="宋体" w:hAnsi="宋体" w:cs="宋体"/>
                <w:sz w:val="24"/>
                <w:highlight w:val="none"/>
              </w:rPr>
              <w:t>年龄不超过55岁</w:t>
            </w:r>
          </w:p>
        </w:tc>
      </w:tr>
    </w:tbl>
    <w:p w14:paraId="54D6B878">
      <w:pPr>
        <w:keepNext w:val="0"/>
        <w:keepLines w:val="0"/>
        <w:pageBreakBefore w:val="0"/>
        <w:widowControl w:val="0"/>
        <w:tabs>
          <w:tab w:val="left" w:pos="567"/>
        </w:tabs>
        <w:kinsoku/>
        <w:wordWrap/>
        <w:overflowPunct/>
        <w:topLinePunct w:val="0"/>
        <w:bidi w:val="0"/>
        <w:snapToGrid/>
        <w:spacing w:line="520" w:lineRule="exact"/>
        <w:ind w:firstLine="480" w:firstLineChars="200"/>
        <w:rPr>
          <w:rFonts w:ascii="宋体" w:hAnsi="宋体" w:cs="宋体"/>
          <w:sz w:val="24"/>
          <w:highlight w:val="none"/>
        </w:rPr>
      </w:pPr>
      <w:r>
        <w:rPr>
          <w:rFonts w:hint="eastAsia" w:ascii="宋体" w:hAnsi="宋体" w:cs="宋体"/>
          <w:sz w:val="24"/>
          <w:highlight w:val="none"/>
        </w:rPr>
        <w:t>2.供应商可适当调整，但不得少于表中所要求人数。</w:t>
      </w:r>
    </w:p>
    <w:p w14:paraId="2CD9E530">
      <w:pPr>
        <w:keepNext w:val="0"/>
        <w:keepLines w:val="0"/>
        <w:pageBreakBefore w:val="0"/>
        <w:widowControl w:val="0"/>
        <w:kinsoku/>
        <w:wordWrap/>
        <w:overflowPunct/>
        <w:topLinePunct w:val="0"/>
        <w:bidi w:val="0"/>
        <w:adjustRightInd w:val="0"/>
        <w:snapToGrid/>
        <w:spacing w:line="520" w:lineRule="exact"/>
        <w:ind w:firstLine="480" w:firstLineChars="200"/>
        <w:jc w:val="left"/>
        <w:textAlignment w:val="baseline"/>
        <w:rPr>
          <w:rFonts w:ascii="宋体" w:hAnsi="宋体" w:cs="宋体"/>
          <w:color w:val="000000"/>
          <w:kern w:val="0"/>
          <w:sz w:val="24"/>
          <w:highlight w:val="none"/>
          <w:lang w:bidi="ar"/>
        </w:rPr>
      </w:pPr>
      <w:r>
        <w:rPr>
          <w:rFonts w:hint="eastAsia" w:ascii="宋体" w:hAnsi="宋体" w:cs="宋体"/>
          <w:color w:val="000000"/>
          <w:kern w:val="0"/>
          <w:sz w:val="24"/>
          <w:highlight w:val="none"/>
          <w:lang w:bidi="ar"/>
        </w:rPr>
        <w:t>注：供应商应当按国家相关法律法规，合理确定服务人员工资标准、工作时间等。供应商应当自行为服务人员办理必需的保险，有关人员伤亡及第三者责任险均应当考虑在报价因素中。</w:t>
      </w:r>
    </w:p>
    <w:p w14:paraId="529B408A">
      <w:pPr>
        <w:keepNext w:val="0"/>
        <w:keepLines w:val="0"/>
        <w:pageBreakBefore w:val="0"/>
        <w:widowControl w:val="0"/>
        <w:kinsoku/>
        <w:wordWrap/>
        <w:overflowPunct/>
        <w:topLinePunct w:val="0"/>
        <w:bidi w:val="0"/>
        <w:snapToGrid/>
        <w:rPr>
          <w:highlight w:val="none"/>
        </w:rPr>
      </w:pPr>
    </w:p>
    <w:p w14:paraId="7F96477F">
      <w:pPr>
        <w:keepNext w:val="0"/>
        <w:keepLines w:val="0"/>
        <w:pageBreakBefore w:val="0"/>
        <w:widowControl w:val="0"/>
        <w:kinsoku/>
        <w:wordWrap/>
        <w:overflowPunct/>
        <w:topLinePunct w:val="0"/>
        <w:bidi w:val="0"/>
        <w:snapToGrid/>
        <w:rPr>
          <w:highlight w:val="none"/>
        </w:rPr>
      </w:pPr>
    </w:p>
    <w:p w14:paraId="72506373">
      <w:r>
        <w:rPr>
          <w:rFonts w:hint="eastAsia"/>
          <w:sz w:val="24"/>
          <w:highlight w:val="none"/>
          <w:lang w:val="en-US" w:eastAsia="zh-CN"/>
        </w:rPr>
        <w:t>落实机关事务局 市发展改革委 市财政局关于印发《关于在物业管理服务政府采购项目中增加节约型公共机构建设相关要求的指导意见》的通知要求。</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EC8CC0"/>
    <w:multiLevelType w:val="singleLevel"/>
    <w:tmpl w:val="ECEC8CC0"/>
    <w:lvl w:ilvl="0" w:tentative="0">
      <w:start w:val="2"/>
      <w:numFmt w:val="chineseCounting"/>
      <w:suff w:val="nothing"/>
      <w:lvlText w:val="%1、"/>
      <w:lvlJc w:val="left"/>
      <w:rPr>
        <w:rFonts w:hint="eastAsia"/>
      </w:rPr>
    </w:lvl>
  </w:abstractNum>
  <w:abstractNum w:abstractNumId="1">
    <w:nsid w:val="5552783D"/>
    <w:multiLevelType w:val="multilevel"/>
    <w:tmpl w:val="5552783D"/>
    <w:lvl w:ilvl="0" w:tentative="0">
      <w:start w:val="1"/>
      <w:numFmt w:val="decimal"/>
      <w:lvlText w:val="%1．"/>
      <w:lvlJc w:val="left"/>
      <w:pPr>
        <w:ind w:left="872" w:hanging="39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B46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tabs>
        <w:tab w:val="left" w:pos="567"/>
      </w:tabs>
      <w:spacing w:before="120" w:line="22" w:lineRule="atLeast"/>
    </w:pPr>
    <w:rPr>
      <w:rFonts w:ascii="宋体" w:hAnsi="宋体"/>
      <w:sz w:val="24"/>
    </w:rPr>
  </w:style>
  <w:style w:type="paragraph" w:customStyle="1" w:styleId="3">
    <w:name w:val="目录 11"/>
    <w:next w:val="1"/>
    <w:qFormat/>
    <w:uiPriority w:val="0"/>
    <w:pPr>
      <w:wordWrap w:val="0"/>
      <w:jc w:val="both"/>
    </w:pPr>
    <w:rPr>
      <w:rFonts w:ascii="Calibri" w:hAnsi="Calibri" w:eastAsia="宋体" w:cs="Calibri"/>
      <w:sz w:val="21"/>
      <w:szCs w:val="22"/>
      <w:lang w:val="en-US" w:eastAsia="zh-CN" w:bidi="ar-SA"/>
    </w:rPr>
  </w:style>
  <w:style w:type="paragraph" w:styleId="4">
    <w:name w:val="annotation text"/>
    <w:basedOn w:val="1"/>
    <w:qFormat/>
    <w:uiPriority w:val="99"/>
    <w:pPr>
      <w:jc w:val="left"/>
    </w:pPr>
  </w:style>
  <w:style w:type="paragraph" w:styleId="5">
    <w:name w:val="Body Text 2"/>
    <w:basedOn w:val="1"/>
    <w:unhideWhenUsed/>
    <w:qFormat/>
    <w:uiPriority w:val="99"/>
    <w:pPr>
      <w:jc w:val="center"/>
    </w:pPr>
    <w:rPr>
      <w:b/>
      <w:bCs/>
      <w:sz w:val="7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2026-07-22T03:00:29Z</dcterms:created>
  <dc:creator>zhhx</dc:creator>
  <cp:lastModifiedBy>高</cp:lastModifiedBy>
  <dcterms:modified xsi:type="dcterms:W3CDTF">2026-07-22T03:01:02Z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eyJoZGlkIjoiOTEwNzllZDM2ZTdkZjM5ZWQ4N2U5NWIyN2UyZWUyZGYiLCJ1c2VySWQiOiI0NjYwNDMyMDYifQ==</vt:lpwstr>
  </property>
  <property fmtid="{D5CDD505-2E9C-101B-9397-08002B2CF9AE}" pid="4" name="ICV">
    <vt:lpwstr>B0DC4CDF109C448B8EE9195A1EB33518_12</vt:lpwstr>
  </property>
</Properties>
</file>